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5E995" w14:textId="5F516F6B" w:rsidR="00B6623C" w:rsidRDefault="00CD767F" w:rsidP="0063017C">
      <w:pPr>
        <w:pStyle w:val="Titel"/>
      </w:pPr>
      <w:r>
        <w:t>Reactie</w:t>
      </w:r>
      <w:r w:rsidR="0093311D">
        <w:t xml:space="preserve"> t.b.v. consultatie </w:t>
      </w:r>
      <w:r w:rsidR="007E1D07">
        <w:t>Actualisatie Energiebesparingsplicht</w:t>
      </w:r>
      <w:r>
        <w:br/>
      </w:r>
      <w:r w:rsidR="007E1D07">
        <w:t>28 mei</w:t>
      </w:r>
      <w:r>
        <w:t xml:space="preserve"> 2026</w:t>
      </w:r>
    </w:p>
    <w:p w14:paraId="349167B1" w14:textId="2D19C28C" w:rsidR="00C64326" w:rsidRDefault="6CB9D76E" w:rsidP="0063017C">
      <w:pPr>
        <w:pStyle w:val="NVDEIntrotekst"/>
        <w:rPr>
          <w:color w:val="EE0000"/>
        </w:rPr>
      </w:pPr>
      <w:r>
        <w:t xml:space="preserve">Dank voor de mogelijkheid tot indienen van een reactie in de consultatie </w:t>
      </w:r>
      <w:r w:rsidR="007E1D07">
        <w:t>Actualisatie Energiebesparingsplicht</w:t>
      </w:r>
      <w:r>
        <w:t>.</w:t>
      </w:r>
    </w:p>
    <w:p w14:paraId="11B3B78A" w14:textId="2EC764F5" w:rsidR="005E2188" w:rsidRDefault="4C27A9B9" w:rsidP="0063017C">
      <w:pPr>
        <w:pStyle w:val="NVDEIntrotekst"/>
      </w:pPr>
      <w:hyperlink r:id="rId8">
        <w:proofErr w:type="spellStart"/>
        <w:r w:rsidRPr="4C27A9B9">
          <w:rPr>
            <w:rStyle w:val="Hyperlink"/>
          </w:rPr>
          <w:t>Ecorys</w:t>
        </w:r>
        <w:proofErr w:type="spellEnd"/>
      </w:hyperlink>
      <w:r>
        <w:t xml:space="preserve"> heeft becijferd dat de kosten voor het niet halen van de doelen voor hernieuwbare opwek en energiebesparing voor 2030 kunnen oplopen tot 2,6 miljard €. Het gaat hier om bindende doelen die in Europees verband zijn vastgelegd. Nederland is dus verplicht deze doelen te behalen. Als dat niet lukt, volgt er een inbreukprocedure van de Europese Commissie. </w:t>
      </w:r>
      <w:r w:rsidR="005E2188">
        <w:br/>
      </w:r>
      <w:r>
        <w:t>Het doel voor energiebesparing wordt volgens de KEV niet gehaald. Het besparingsdoel is 26,4%, terwijl Nederland in 2030 pas op 21,5% zit en in 2035 op 24,2%, waarmee het doel nog steeds niet behaald wordt. Dit gat is in 2030 gelijk aan 107 PJ en is in 2035 afgenomen tot 48 PJ. Het cumulatieve gat voor de periode 2030-2035 bedraagt 465 PJ.</w:t>
      </w:r>
    </w:p>
    <w:p w14:paraId="1F76348F" w14:textId="1CCE9795" w:rsidR="005E2188" w:rsidRDefault="03EC5138" w:rsidP="0063017C">
      <w:pPr>
        <w:pStyle w:val="NVDEIntrotekst"/>
      </w:pPr>
      <w:r>
        <w:t>Investeren in energiebesparingen en duurzame energie in eigen land versterkt onze energie-onafhankelijkheid, verlaagt de energierekening en legt het fundament onder een sterke, concurrerende economie. Nederland heeft alles in huis om deze doelen wél te halen.</w:t>
      </w:r>
    </w:p>
    <w:p w14:paraId="78C068AB" w14:textId="630D935A" w:rsidR="00B01AF9" w:rsidRPr="007E1D07" w:rsidRDefault="007E1D07" w:rsidP="007E1D07">
      <w:pPr>
        <w:spacing w:after="160" w:line="259" w:lineRule="auto"/>
      </w:pPr>
      <w:r w:rsidRPr="00D84D0F">
        <w:t>De</w:t>
      </w:r>
      <w:r w:rsidR="005E2188">
        <w:t xml:space="preserve"> voorliggende</w:t>
      </w:r>
      <w:r w:rsidRPr="00D84D0F">
        <w:t xml:space="preserve"> actualisatie </w:t>
      </w:r>
      <w:r>
        <w:t xml:space="preserve">dient meerdere doelen, het </w:t>
      </w:r>
      <w:r w:rsidRPr="00D84D0F">
        <w:t>moet leiden tot extra energiebesparing en CO</w:t>
      </w:r>
      <w:r w:rsidRPr="00D84D0F">
        <w:rPr>
          <w:vertAlign w:val="subscript"/>
        </w:rPr>
        <w:t>2</w:t>
      </w:r>
      <w:r w:rsidRPr="00D84D0F">
        <w:t>-reductie bij bedrijven</w:t>
      </w:r>
      <w:r w:rsidR="005E2188">
        <w:t>, t</w:t>
      </w:r>
      <w:r w:rsidRPr="00D84D0F">
        <w:t>erwijl tegelijkertijd de uitvoerbaarheid, handhaafbaarheid en regeldruk worden verbeterd, mede op basis van evaluaties van o.a. CE Delft en de Algemene Rekenkamer</w:t>
      </w:r>
      <w:r>
        <w:t>. Wat ons betreft slaagt de actualisatie hier aardig in. We hebben een aantal punten om mee te geven, hierbij ligt vooral een focus op energiebesparing en CO</w:t>
      </w:r>
      <w:r w:rsidRPr="007E1D07">
        <w:rPr>
          <w:vertAlign w:val="subscript"/>
        </w:rPr>
        <w:t>2</w:t>
      </w:r>
      <w:r>
        <w:t xml:space="preserve">-reductie, en op handhaafbaarheid. </w:t>
      </w:r>
    </w:p>
    <w:p w14:paraId="5C8DBD1A" w14:textId="58E9F3D3" w:rsidR="00B6623C" w:rsidRDefault="007F2533" w:rsidP="0063017C">
      <w:pPr>
        <w:pStyle w:val="tussenkopje"/>
      </w:pPr>
      <w:r>
        <w:t>Verstandig dat de doelgroep behouden blijft</w:t>
      </w:r>
    </w:p>
    <w:p w14:paraId="146F7F87" w14:textId="77777777" w:rsidR="007F2533" w:rsidRDefault="007E1D07" w:rsidP="007F2533">
      <w:pPr>
        <w:spacing w:line="259" w:lineRule="auto"/>
      </w:pPr>
      <w:r w:rsidRPr="00D84D0F">
        <w:t>De plicht blijft gelden voor bedrijven en instellingen boven de drempel van 50.000 kWh elektriciteit of 25.000 m3 aardgas</w:t>
      </w:r>
      <w:r>
        <w:t xml:space="preserve"> </w:t>
      </w:r>
      <w:r w:rsidRPr="00D84D0F">
        <w:t>(equivalent), met een verplichting tot het nemen van rendabele maatregelen en een vierjaarlijkse rapportage aan het bevoegd gezag</w:t>
      </w:r>
      <w:r>
        <w:t xml:space="preserve">. </w:t>
      </w:r>
    </w:p>
    <w:p w14:paraId="0DF22DC1" w14:textId="34FFDC58" w:rsidR="007E1D07" w:rsidRPr="00D84D0F" w:rsidRDefault="6E323793" w:rsidP="007F2533">
      <w:pPr>
        <w:pStyle w:val="Lijstalinea"/>
        <w:numPr>
          <w:ilvl w:val="0"/>
          <w:numId w:val="20"/>
        </w:numPr>
        <w:spacing w:line="259" w:lineRule="auto"/>
      </w:pPr>
      <w:r w:rsidRPr="6E323793">
        <w:rPr>
          <w:b/>
          <w:bCs/>
          <w:color w:val="4EA72E" w:themeColor="accent6"/>
        </w:rPr>
        <w:t>Wij zijn erg blij dat de doelgroep gehandhaafd blijft.</w:t>
      </w:r>
      <w:r>
        <w:t xml:space="preserve"> De wens -en wettelijke noodzaak- om meer energie te besparen strookte niet met inperking van de doelgroep binnen de Energiebesparingsplicht. </w:t>
      </w:r>
      <w:r w:rsidR="00751488">
        <w:t>Het is andersom juist raadzaam dat meer bedrijven actief nadenken over hun energie</w:t>
      </w:r>
      <w:r w:rsidR="00A42E6B">
        <w:t xml:space="preserve">gebruik, zodat meer energie wordt bespaard met voordelen in </w:t>
      </w:r>
      <w:r w:rsidR="008B7E9A">
        <w:t xml:space="preserve">het oplossen van </w:t>
      </w:r>
      <w:r w:rsidR="008B7E9A">
        <w:lastRenderedPageBreak/>
        <w:t xml:space="preserve">netcongestie, reduceren van emissies en verlagen van energiekosten voor de bedrijven zelf. </w:t>
      </w:r>
      <w:r w:rsidR="00D469AB">
        <w:t xml:space="preserve">Daarvoor zou eerder uitbreiding van de doelgroep logisch zijn. </w:t>
      </w:r>
    </w:p>
    <w:p w14:paraId="04230A4D" w14:textId="56DB9E9C" w:rsidR="007F2533" w:rsidRDefault="00BB4DC2" w:rsidP="007F2533">
      <w:pPr>
        <w:numPr>
          <w:ilvl w:val="0"/>
          <w:numId w:val="20"/>
        </w:numPr>
        <w:spacing w:line="259" w:lineRule="auto"/>
      </w:pPr>
      <w:r>
        <w:rPr>
          <w:b/>
          <w:bCs/>
          <w:color w:val="4EA72E" w:themeColor="accent6"/>
        </w:rPr>
        <w:t xml:space="preserve">Wij </w:t>
      </w:r>
      <w:r w:rsidRPr="001B2CE2">
        <w:rPr>
          <w:b/>
          <w:bCs/>
          <w:color w:val="4EA72E" w:themeColor="accent6"/>
        </w:rPr>
        <w:t>begrijpen de roep op vermindering van regeldruk</w:t>
      </w:r>
      <w:r w:rsidR="00256ABB">
        <w:rPr>
          <w:b/>
          <w:bCs/>
          <w:color w:val="4EA72E" w:themeColor="accent6"/>
        </w:rPr>
        <w:t xml:space="preserve"> m.b.t. ingeperkte onderzoeksplicht</w:t>
      </w:r>
      <w:r w:rsidR="006348F2">
        <w:rPr>
          <w:b/>
          <w:bCs/>
          <w:color w:val="4EA72E" w:themeColor="accent6"/>
        </w:rPr>
        <w:t xml:space="preserve">, </w:t>
      </w:r>
      <w:r w:rsidR="006348F2" w:rsidRPr="006348F2">
        <w:t>ondanks dat dit geen voorstel van ons zou zijn</w:t>
      </w:r>
      <w:r w:rsidRPr="006348F2">
        <w:t>.</w:t>
      </w:r>
      <w:r>
        <w:rPr>
          <w:b/>
          <w:bCs/>
          <w:color w:val="4EA72E" w:themeColor="accent6"/>
        </w:rPr>
        <w:t xml:space="preserve"> </w:t>
      </w:r>
      <w:r w:rsidR="0023742A">
        <w:t xml:space="preserve">Omdat het gaat om </w:t>
      </w:r>
      <w:r w:rsidR="007E1D07" w:rsidRPr="00D84D0F">
        <w:t xml:space="preserve">sectoren met uniforme processen of </w:t>
      </w:r>
      <w:proofErr w:type="spellStart"/>
      <w:r w:rsidR="007E1D07" w:rsidRPr="00D84D0F">
        <w:t>gebouwgebonden</w:t>
      </w:r>
      <w:proofErr w:type="spellEnd"/>
      <w:r w:rsidR="007E1D07" w:rsidRPr="00D84D0F">
        <w:t xml:space="preserve"> energiegebruik</w:t>
      </w:r>
      <w:r w:rsidR="006348F2">
        <w:t xml:space="preserve">, geeft </w:t>
      </w:r>
      <w:r w:rsidR="0023742A">
        <w:t xml:space="preserve">het </w:t>
      </w:r>
      <w:r w:rsidR="006348F2">
        <w:t>een beperkte impact op werkelijke energiebesparing en CO</w:t>
      </w:r>
      <w:r w:rsidR="006348F2" w:rsidRPr="008E3005">
        <w:rPr>
          <w:vertAlign w:val="subscript"/>
        </w:rPr>
        <w:t>2</w:t>
      </w:r>
      <w:r w:rsidR="006348F2">
        <w:t>-reductie verwachten wij</w:t>
      </w:r>
      <w:r w:rsidR="007E1D07">
        <w:t xml:space="preserve">. </w:t>
      </w:r>
      <w:r w:rsidR="008E3005">
        <w:t xml:space="preserve">Gelukkig vallen deze partijen </w:t>
      </w:r>
      <w:r w:rsidR="007E1D07" w:rsidRPr="00D84D0F">
        <w:t xml:space="preserve">nog </w:t>
      </w:r>
      <w:r w:rsidR="008E3005">
        <w:t xml:space="preserve">wel </w:t>
      </w:r>
      <w:r w:rsidR="007E1D07" w:rsidRPr="00D84D0F">
        <w:t>onder de informatieplicht</w:t>
      </w:r>
      <w:r w:rsidR="007E1D07">
        <w:t xml:space="preserve">. </w:t>
      </w:r>
    </w:p>
    <w:p w14:paraId="5198E8AE" w14:textId="37E121F8" w:rsidR="007F2533" w:rsidRDefault="007F2533" w:rsidP="007F2533">
      <w:pPr>
        <w:pStyle w:val="tussenkopje"/>
      </w:pPr>
      <w:r>
        <w:t xml:space="preserve">Zorg voor </w:t>
      </w:r>
      <w:r w:rsidR="00AB51E1">
        <w:t>structurele</w:t>
      </w:r>
      <w:r>
        <w:t xml:space="preserve"> </w:t>
      </w:r>
      <w:r w:rsidR="00CA1CBC">
        <w:t>versteviging</w:t>
      </w:r>
      <w:r>
        <w:t xml:space="preserve"> </w:t>
      </w:r>
      <w:r w:rsidR="00CA1CBC">
        <w:t>va</w:t>
      </w:r>
      <w:r>
        <w:t>n toezicht en handhaving</w:t>
      </w:r>
    </w:p>
    <w:p w14:paraId="3AF87332" w14:textId="1E758DBC" w:rsidR="007F2533" w:rsidRDefault="007E1D07" w:rsidP="007F2533">
      <w:pPr>
        <w:spacing w:line="259" w:lineRule="auto"/>
      </w:pPr>
      <w:r w:rsidRPr="00D84D0F">
        <w:t xml:space="preserve">De terugverdientijd voor verplichte maatregelen wordt verruimd van vijf naar zeven jaar, waardoor het aantal maatregelen toeneemt en circa 11 PJ extra energiebesparing kan worden gerealiseerd, </w:t>
      </w:r>
      <w:r w:rsidR="007F2533">
        <w:t xml:space="preserve">tegen </w:t>
      </w:r>
      <w:r w:rsidRPr="00D84D0F">
        <w:t>een geschatte investering van circa €1 miljard</w:t>
      </w:r>
      <w:r w:rsidR="007F2533">
        <w:t xml:space="preserve">. </w:t>
      </w:r>
    </w:p>
    <w:p w14:paraId="3027858C" w14:textId="523C1669" w:rsidR="00B40246" w:rsidRDefault="00AC55C7" w:rsidP="00CA1CBC">
      <w:pPr>
        <w:numPr>
          <w:ilvl w:val="0"/>
          <w:numId w:val="20"/>
        </w:numPr>
        <w:spacing w:line="259" w:lineRule="auto"/>
      </w:pPr>
      <w:r w:rsidRPr="00D35F1A">
        <w:rPr>
          <w:b/>
          <w:bCs/>
          <w:color w:val="4EA72E" w:themeColor="accent6"/>
        </w:rPr>
        <w:t xml:space="preserve">Wij willen </w:t>
      </w:r>
      <w:r w:rsidR="007A182B">
        <w:rPr>
          <w:b/>
          <w:bCs/>
          <w:color w:val="4EA72E" w:themeColor="accent6"/>
        </w:rPr>
        <w:t xml:space="preserve">met klem </w:t>
      </w:r>
      <w:r w:rsidRPr="00D35F1A">
        <w:rPr>
          <w:b/>
          <w:bCs/>
          <w:color w:val="4EA72E" w:themeColor="accent6"/>
        </w:rPr>
        <w:t>benadrukken dat de effectiviteit van verruiming van terugverdientijd van 5 naar 7 jaar volledig afhankelijk is van serieus toezicht en handhaving.</w:t>
      </w:r>
      <w:r w:rsidRPr="00AC55C7">
        <w:t xml:space="preserve"> </w:t>
      </w:r>
      <w:r w:rsidR="007A182B">
        <w:br/>
      </w:r>
      <w:r w:rsidR="006A7026">
        <w:t>D</w:t>
      </w:r>
      <w:r w:rsidR="1073F7CC">
        <w:t xml:space="preserve">e voorgestelde verruiming van de terugverdientijd binnen de energiebesparingsplicht (van 5 naar 7 jaar) </w:t>
      </w:r>
      <w:r w:rsidR="007D2FFA">
        <w:t>zou</w:t>
      </w:r>
      <w:r w:rsidR="1073F7CC">
        <w:t xml:space="preserve"> een positieve ontwikkeling</w:t>
      </w:r>
      <w:r w:rsidR="007D2FFA">
        <w:t xml:space="preserve"> kunnen zijn</w:t>
      </w:r>
      <w:r w:rsidR="1073F7CC">
        <w:t>. Deze aanpassing vergroot de set aan rendabele maatregelen en kan daarmee bijdragen aan versnelling van elektrificatie</w:t>
      </w:r>
      <w:r w:rsidR="008849D6">
        <w:t>,</w:t>
      </w:r>
      <w:r w:rsidR="1073F7CC">
        <w:t xml:space="preserve"> </w:t>
      </w:r>
      <w:r w:rsidR="008849D6">
        <w:t>emissie</w:t>
      </w:r>
      <w:r w:rsidR="1073F7CC">
        <w:t>reductie</w:t>
      </w:r>
      <w:r w:rsidR="008849D6">
        <w:t>, reductie</w:t>
      </w:r>
      <w:r w:rsidR="1073F7CC">
        <w:t xml:space="preserve"> van het gasverbruik</w:t>
      </w:r>
      <w:r w:rsidR="00793B02">
        <w:t xml:space="preserve"> en oplossen van netcongestie</w:t>
      </w:r>
      <w:r w:rsidR="1073F7CC">
        <w:t xml:space="preserve">. </w:t>
      </w:r>
      <w:r w:rsidR="006A7026">
        <w:t>Daarbij sluit het ook aan bij een maatschappelijke verwachting</w:t>
      </w:r>
      <w:r w:rsidR="005B2A09">
        <w:t xml:space="preserve"> aan effort (in termen van terugverdientijd) die we ook van burgers verwachten. </w:t>
      </w:r>
      <w:r w:rsidR="007A182B" w:rsidRPr="00793B02">
        <w:rPr>
          <w:i/>
          <w:iCs/>
        </w:rPr>
        <w:t>Echter</w:t>
      </w:r>
      <w:r w:rsidR="00BC4BF9">
        <w:t>:</w:t>
      </w:r>
      <w:r w:rsidR="1073F7CC">
        <w:t xml:space="preserve"> in de praktijk worden op dit moment al veel maatregelen met een terugverdientijd van 5 jaar niet uitgevoerd. </w:t>
      </w:r>
      <w:r w:rsidR="1073F7CC" w:rsidRPr="00D35F1A">
        <w:rPr>
          <w:b/>
          <w:bCs/>
          <w:color w:val="000000" w:themeColor="text1"/>
        </w:rPr>
        <w:t>91 procent</w:t>
      </w:r>
      <w:r w:rsidR="1073F7CC" w:rsidRPr="00D35F1A">
        <w:rPr>
          <w:color w:val="000000" w:themeColor="text1"/>
        </w:rPr>
        <w:t> van alle bedrijven krijgt een </w:t>
      </w:r>
      <w:proofErr w:type="spellStart"/>
      <w:r w:rsidR="1073F7CC" w:rsidRPr="00D35F1A">
        <w:rPr>
          <w:color w:val="000000" w:themeColor="text1"/>
        </w:rPr>
        <w:t>hercontrole</w:t>
      </w:r>
      <w:proofErr w:type="spellEnd"/>
      <w:r w:rsidR="1073F7CC" w:rsidRPr="00D35F1A">
        <w:rPr>
          <w:color w:val="000000" w:themeColor="text1"/>
        </w:rPr>
        <w:t xml:space="preserve">, bij </w:t>
      </w:r>
      <w:proofErr w:type="spellStart"/>
      <w:r w:rsidR="1073F7CC" w:rsidRPr="00D35F1A">
        <w:rPr>
          <w:color w:val="000000" w:themeColor="text1"/>
        </w:rPr>
        <w:t>her</w:t>
      </w:r>
      <w:r w:rsidR="1073F7CC">
        <w:t>controle</w:t>
      </w:r>
      <w:proofErr w:type="spellEnd"/>
      <w:r w:rsidR="1073F7CC">
        <w:t xml:space="preserve"> stonden in okt ‘25 nog </w:t>
      </w:r>
      <w:r w:rsidR="1073F7CC" w:rsidRPr="00D35F1A">
        <w:rPr>
          <w:b/>
          <w:bCs/>
        </w:rPr>
        <w:t>64.441</w:t>
      </w:r>
      <w:r w:rsidR="1073F7CC">
        <w:t xml:space="preserve"> maatregelen open</w:t>
      </w:r>
      <w:r w:rsidR="1073F7CC" w:rsidRPr="00D35F1A">
        <w:rPr>
          <w:color w:val="000000" w:themeColor="text1"/>
        </w:rPr>
        <w:t> </w:t>
      </w:r>
      <w:hyperlink r:id="rId9">
        <w:r w:rsidR="1073F7CC" w:rsidRPr="1073F7CC">
          <w:rPr>
            <w:rStyle w:val="Hyperlink"/>
          </w:rPr>
          <w:t>(bron)</w:t>
        </w:r>
      </w:hyperlink>
      <w:r w:rsidR="1073F7CC">
        <w:t>.</w:t>
      </w:r>
      <w:r w:rsidR="00BC4BF9">
        <w:t xml:space="preserve"> Allemaal met een gunstige terugverdientijd,</w:t>
      </w:r>
      <w:r w:rsidR="00285356">
        <w:t xml:space="preserve"> en met voordelen voor netcongestie, energie-onafhankelijkheid en kostenreductie. </w:t>
      </w:r>
      <w:r w:rsidR="009E298D">
        <w:t xml:space="preserve">Zónder </w:t>
      </w:r>
      <w:r w:rsidR="00B40246">
        <w:t xml:space="preserve">verdere </w:t>
      </w:r>
      <w:r w:rsidR="007406BD">
        <w:t xml:space="preserve">structurele </w:t>
      </w:r>
      <w:r w:rsidR="009E298D">
        <w:t xml:space="preserve">versteviging van toezicht en handhaving kan verruiming van de terugverdientijd daarmee </w:t>
      </w:r>
      <w:r w:rsidR="009E298D" w:rsidRPr="00B40246">
        <w:rPr>
          <w:i/>
          <w:iCs/>
        </w:rPr>
        <w:t>‘een wassen neus’</w:t>
      </w:r>
      <w:r w:rsidR="009E298D">
        <w:t xml:space="preserve"> zijn. </w:t>
      </w:r>
      <w:r w:rsidR="007406BD">
        <w:t>Voortzetting va</w:t>
      </w:r>
      <w:r w:rsidR="007406BD" w:rsidRPr="00863BEF">
        <w:t xml:space="preserve">n het extra budget via </w:t>
      </w:r>
      <w:proofErr w:type="spellStart"/>
      <w:r w:rsidR="007406BD" w:rsidRPr="00863BEF">
        <w:t>SpUK</w:t>
      </w:r>
      <w:proofErr w:type="spellEnd"/>
      <w:r w:rsidR="007406BD" w:rsidRPr="00863BEF">
        <w:t>-THE is</w:t>
      </w:r>
      <w:r w:rsidR="007406BD">
        <w:t xml:space="preserve"> voor nu</w:t>
      </w:r>
      <w:r w:rsidR="007406BD" w:rsidRPr="00863BEF">
        <w:t xml:space="preserve"> goed</w:t>
      </w:r>
      <w:r w:rsidR="007406BD">
        <w:t xml:space="preserve"> –</w:t>
      </w:r>
      <w:r w:rsidR="007406BD" w:rsidRPr="00863BEF">
        <w:t xml:space="preserve"> </w:t>
      </w:r>
      <w:r w:rsidR="007406BD">
        <w:t xml:space="preserve">geïntensiveerde </w:t>
      </w:r>
      <w:proofErr w:type="spellStart"/>
      <w:r w:rsidR="007406BD">
        <w:t>efforts</w:t>
      </w:r>
      <w:proofErr w:type="spellEnd"/>
      <w:r w:rsidR="007406BD">
        <w:t xml:space="preserve"> worden gelukkig ook voorzichtig herkend bij bedrijven –  </w:t>
      </w:r>
      <w:r w:rsidR="007406BD" w:rsidRPr="00863BEF">
        <w:t xml:space="preserve">maar </w:t>
      </w:r>
      <w:r w:rsidR="007406BD">
        <w:t xml:space="preserve">het </w:t>
      </w:r>
      <w:r w:rsidR="007406BD" w:rsidRPr="00863BEF">
        <w:t xml:space="preserve">maakt allerminst zeker dat hiermee voldoende toezicht en handhaving wordt bereikt. Structurele versteviging wordt maatschappelijk ook verlangd voor naleving van een wet </w:t>
      </w:r>
      <w:r w:rsidR="007406BD">
        <w:t>die stamt uit</w:t>
      </w:r>
      <w:r w:rsidR="007406BD" w:rsidRPr="00863BEF">
        <w:t xml:space="preserve"> 19</w:t>
      </w:r>
      <w:r w:rsidR="007406BD">
        <w:t>93</w:t>
      </w:r>
      <w:r w:rsidR="007406BD" w:rsidRPr="00863BEF">
        <w:t>.</w:t>
      </w:r>
    </w:p>
    <w:p w14:paraId="42D67262" w14:textId="5E0BEF46" w:rsidR="00CA1CBC" w:rsidRPr="00863BEF" w:rsidRDefault="00074E1A" w:rsidP="00CA1CBC">
      <w:pPr>
        <w:numPr>
          <w:ilvl w:val="0"/>
          <w:numId w:val="20"/>
        </w:numPr>
        <w:spacing w:line="259" w:lineRule="auto"/>
      </w:pPr>
      <w:r>
        <w:rPr>
          <w:b/>
          <w:bCs/>
          <w:color w:val="4EA72E" w:themeColor="accent6"/>
        </w:rPr>
        <w:t xml:space="preserve">Draag bij aan </w:t>
      </w:r>
      <w:r w:rsidRPr="00074E1A">
        <w:rPr>
          <w:b/>
          <w:bCs/>
          <w:color w:val="4EA72E" w:themeColor="accent6"/>
        </w:rPr>
        <w:t xml:space="preserve">stevige Europese </w:t>
      </w:r>
      <w:r w:rsidR="00EA4708">
        <w:rPr>
          <w:b/>
          <w:bCs/>
          <w:color w:val="4EA72E" w:themeColor="accent6"/>
        </w:rPr>
        <w:t>e</w:t>
      </w:r>
      <w:r w:rsidRPr="00074E1A">
        <w:rPr>
          <w:b/>
          <w:bCs/>
          <w:color w:val="4EA72E" w:themeColor="accent6"/>
        </w:rPr>
        <w:t>nergiebesparingswet</w:t>
      </w:r>
      <w:r w:rsidR="00EA4708">
        <w:rPr>
          <w:b/>
          <w:bCs/>
          <w:color w:val="4EA72E" w:themeColor="accent6"/>
        </w:rPr>
        <w:t>geving, gelijk tussen lidstaten</w:t>
      </w:r>
      <w:r w:rsidRPr="00074E1A">
        <w:rPr>
          <w:b/>
          <w:bCs/>
          <w:color w:val="4EA72E" w:themeColor="accent6"/>
        </w:rPr>
        <w:t xml:space="preserve">. </w:t>
      </w:r>
      <w:r w:rsidR="00EA4708">
        <w:t>D</w:t>
      </w:r>
      <w:r w:rsidR="1073F7CC">
        <w:t>e druk vanuit Europa om energiebesparingsdoelen daadwerkelijk te halen</w:t>
      </w:r>
      <w:r w:rsidR="00EA4708">
        <w:t>, neemt logischerwijs toe</w:t>
      </w:r>
      <w:r w:rsidR="1073F7CC">
        <w:t xml:space="preserve">. Dat </w:t>
      </w:r>
      <w:r w:rsidR="00EA4708">
        <w:t>geldt</w:t>
      </w:r>
      <w:r w:rsidR="1073F7CC">
        <w:t xml:space="preserve"> voor Nederland, maar ook voor andere lidstaten die achterliggen op de doelstelling. </w:t>
      </w:r>
      <w:r w:rsidR="009857C2">
        <w:t>Eu</w:t>
      </w:r>
      <w:r w:rsidR="00A150A1">
        <w:t xml:space="preserve">ropese EED wetgeving, gekoppeld aan toezicht en handhaving vanuit </w:t>
      </w:r>
      <w:proofErr w:type="spellStart"/>
      <w:r w:rsidR="00A150A1">
        <w:t>NEa</w:t>
      </w:r>
      <w:proofErr w:type="spellEnd"/>
      <w:r w:rsidR="00A150A1">
        <w:t xml:space="preserve"> </w:t>
      </w:r>
      <w:proofErr w:type="spellStart"/>
      <w:r w:rsidR="00A150A1">
        <w:t>i.h.k.v</w:t>
      </w:r>
      <w:proofErr w:type="spellEnd"/>
      <w:r w:rsidR="00A150A1">
        <w:t xml:space="preserve">. ETS1 kent aanzienlijk betere nalevingspercentages, en </w:t>
      </w:r>
      <w:r w:rsidR="008841AC">
        <w:t>betreff</w:t>
      </w:r>
      <w:r w:rsidR="00A150A1">
        <w:t xml:space="preserve">en een gelijk speelveld. </w:t>
      </w:r>
      <w:r w:rsidR="00B36992">
        <w:t xml:space="preserve">Inzetten op verhoging van de terugverdientijd </w:t>
      </w:r>
      <w:r w:rsidR="008841AC">
        <w:t xml:space="preserve">(dit is nu slechts 3 jaar) </w:t>
      </w:r>
      <w:r w:rsidR="00B36992">
        <w:t xml:space="preserve">daarbij zou goed zijn. </w:t>
      </w:r>
    </w:p>
    <w:p w14:paraId="48688B85" w14:textId="3EAE7016" w:rsidR="6E323793" w:rsidRDefault="00A37CD7" w:rsidP="00496783">
      <w:pPr>
        <w:numPr>
          <w:ilvl w:val="0"/>
          <w:numId w:val="20"/>
        </w:numPr>
        <w:spacing w:line="259" w:lineRule="auto"/>
      </w:pPr>
      <w:r>
        <w:rPr>
          <w:rFonts w:eastAsiaTheme="minorEastAsia"/>
          <w:b/>
          <w:bCs/>
          <w:color w:val="4DA62E"/>
        </w:rPr>
        <w:t>Daar</w:t>
      </w:r>
      <w:r w:rsidR="00CC4513">
        <w:rPr>
          <w:rFonts w:eastAsiaTheme="minorEastAsia"/>
          <w:b/>
          <w:bCs/>
          <w:color w:val="4DA62E"/>
        </w:rPr>
        <w:t>naast</w:t>
      </w:r>
      <w:r>
        <w:rPr>
          <w:rFonts w:eastAsiaTheme="minorEastAsia"/>
          <w:b/>
          <w:bCs/>
          <w:color w:val="4DA62E"/>
        </w:rPr>
        <w:t xml:space="preserve"> melden we graag dat het belangrijk is dat Nederland </w:t>
      </w:r>
      <w:r w:rsidR="1073F7CC" w:rsidRPr="00D1622F">
        <w:rPr>
          <w:rFonts w:eastAsiaTheme="minorEastAsia"/>
          <w:b/>
          <w:bCs/>
          <w:color w:val="4DA62E"/>
        </w:rPr>
        <w:t xml:space="preserve">aanvullende maatregelen neemt om het ongelijke Europese speelveld te herstellen, zodat </w:t>
      </w:r>
      <w:r>
        <w:rPr>
          <w:rFonts w:eastAsiaTheme="minorEastAsia"/>
          <w:b/>
          <w:bCs/>
          <w:color w:val="4DA62E"/>
        </w:rPr>
        <w:t xml:space="preserve">bedrijven ook in verduurzaming kúnnen investeren. </w:t>
      </w:r>
      <w:r w:rsidR="00880544" w:rsidRPr="00496783">
        <w:rPr>
          <w:rFonts w:eastAsiaTheme="minorEastAsia"/>
        </w:rPr>
        <w:t>V</w:t>
      </w:r>
      <w:r w:rsidR="1073F7CC" w:rsidRPr="00D1622F">
        <w:rPr>
          <w:rFonts w:eastAsiaTheme="minorEastAsia"/>
        </w:rPr>
        <w:t xml:space="preserve">erlenging van de terugverdientijd van 5 naar 7 jaar </w:t>
      </w:r>
      <w:r w:rsidR="00880544" w:rsidRPr="00496783">
        <w:rPr>
          <w:rFonts w:eastAsiaTheme="minorEastAsia"/>
        </w:rPr>
        <w:t xml:space="preserve">heeft het risico op juist </w:t>
      </w:r>
      <w:r w:rsidR="00CC4513">
        <w:rPr>
          <w:rFonts w:eastAsiaTheme="minorEastAsia"/>
        </w:rPr>
        <w:t xml:space="preserve">een </w:t>
      </w:r>
      <w:r w:rsidR="1073F7CC" w:rsidRPr="00D1622F">
        <w:rPr>
          <w:rFonts w:eastAsiaTheme="minorEastAsia"/>
        </w:rPr>
        <w:t>ongelijker Europees speelveld voor Nederlandse bedrijven</w:t>
      </w:r>
      <w:r w:rsidR="00496783" w:rsidRPr="00496783">
        <w:rPr>
          <w:rFonts w:eastAsiaTheme="minorEastAsia"/>
        </w:rPr>
        <w:t xml:space="preserve">, zeker zolang buurlanden nog geen verstevigende maatregelen nemen. </w:t>
      </w:r>
    </w:p>
    <w:p w14:paraId="7DE12E58" w14:textId="7E96A665" w:rsidR="00AC55C7" w:rsidRPr="003B1FF3" w:rsidRDefault="00F23D77" w:rsidP="00CA1CBC">
      <w:pPr>
        <w:pStyle w:val="Lijstalinea"/>
        <w:numPr>
          <w:ilvl w:val="0"/>
          <w:numId w:val="20"/>
        </w:numPr>
      </w:pPr>
      <w:r>
        <w:rPr>
          <w:b/>
          <w:bCs/>
          <w:color w:val="4EA72E" w:themeColor="accent6"/>
        </w:rPr>
        <w:t xml:space="preserve">Zorg voor passende subsidie- en/of fiscale ondersteuningsruimte. </w:t>
      </w:r>
      <w:r w:rsidR="6E323793">
        <w:t xml:space="preserve">Bij aanpassing van de terugverdientijdgrens kunnen ook subsidie- en fiscale budgetten wijzigen, </w:t>
      </w:r>
      <w:r w:rsidR="001B6685">
        <w:t xml:space="preserve">aangezien </w:t>
      </w:r>
      <w:r w:rsidR="6E323793">
        <w:t>wettelijk verplichte maatregelen niet</w:t>
      </w:r>
      <w:r w:rsidR="007C1494">
        <w:t xml:space="preserve"> zomaar</w:t>
      </w:r>
      <w:r w:rsidR="6E323793">
        <w:t xml:space="preserve"> in aanmerking </w:t>
      </w:r>
      <w:r w:rsidR="001B6685">
        <w:t xml:space="preserve">komen </w:t>
      </w:r>
      <w:r w:rsidR="6E323793">
        <w:t xml:space="preserve">voor subsidie. </w:t>
      </w:r>
      <w:r w:rsidR="0043042B">
        <w:t>Zeker v</w:t>
      </w:r>
      <w:r w:rsidR="6E323793">
        <w:t>oor maatregelen met relatief lange terugverdientijd ligt ondersteuning voor de hand om de uitvoering ook daadwerkelijk haalbaar te mak</w:t>
      </w:r>
      <w:r w:rsidR="007C1494">
        <w:t>e</w:t>
      </w:r>
      <w:r w:rsidR="008202F6">
        <w:t>n. Z</w:t>
      </w:r>
      <w:r w:rsidR="6E323793">
        <w:t xml:space="preserve">eker in een overgangsperiode en ten opzichte van onze buurlanden. Bied daarnaast financiële ondersteuning via </w:t>
      </w:r>
      <w:r w:rsidR="008202F6">
        <w:t xml:space="preserve">nul- of </w:t>
      </w:r>
      <w:r w:rsidR="6E323793">
        <w:t xml:space="preserve">lage rente </w:t>
      </w:r>
      <w:r w:rsidR="008202F6">
        <w:t>en</w:t>
      </w:r>
      <w:r w:rsidR="6E323793">
        <w:t xml:space="preserve"> (</w:t>
      </w:r>
      <w:proofErr w:type="spellStart"/>
      <w:r w:rsidR="6E323793">
        <w:t>operational</w:t>
      </w:r>
      <w:proofErr w:type="spellEnd"/>
      <w:r w:rsidR="6E323793">
        <w:t>) lease-</w:t>
      </w:r>
      <w:r w:rsidR="6E323793">
        <w:lastRenderedPageBreak/>
        <w:t xml:space="preserve">opties. Hierdoor wordt het nemen van energiebesparende maatregelen aantrekkelijker voor bedrijven. </w:t>
      </w:r>
    </w:p>
    <w:p w14:paraId="15C724D0" w14:textId="48BC6025" w:rsidR="007F2533" w:rsidRPr="003B1FF3" w:rsidRDefault="00CA1CBC" w:rsidP="003B1FF3">
      <w:pPr>
        <w:numPr>
          <w:ilvl w:val="0"/>
          <w:numId w:val="20"/>
        </w:numPr>
        <w:spacing w:line="259" w:lineRule="auto"/>
      </w:pPr>
      <w:r w:rsidRPr="003B1FF3">
        <w:rPr>
          <w:b/>
          <w:bCs/>
          <w:color w:val="4EA72E" w:themeColor="accent6"/>
        </w:rPr>
        <w:t>Scherp de wettelijke rekenregels aan</w:t>
      </w:r>
      <w:r w:rsidR="003B1FF3">
        <w:rPr>
          <w:b/>
          <w:bCs/>
          <w:color w:val="4EA72E" w:themeColor="accent6"/>
        </w:rPr>
        <w:t>,</w:t>
      </w:r>
      <w:r w:rsidRPr="003B1FF3">
        <w:rPr>
          <w:b/>
          <w:bCs/>
          <w:color w:val="4EA72E" w:themeColor="accent6"/>
        </w:rPr>
        <w:t xml:space="preserve"> om te voorkomen dat bedrijven te nemen maatregelen actief blokkeren. </w:t>
      </w:r>
      <w:r w:rsidRPr="003B1FF3">
        <w:t xml:space="preserve">We zijn teleurgesteld dat er geen opties in de actualisatie zijn opgenomen </w:t>
      </w:r>
      <w:r w:rsidR="003B1FF3" w:rsidRPr="003B1FF3">
        <w:t>ter voorkoming van het ‘kapot-rekenen’ van</w:t>
      </w:r>
      <w:r w:rsidRPr="003B1FF3">
        <w:t xml:space="preserve"> de terugverdientijd. </w:t>
      </w:r>
      <w:r w:rsidR="00D01514">
        <w:t xml:space="preserve">Het is met de huidige rekenregels </w:t>
      </w:r>
      <w:r w:rsidR="008A7085">
        <w:t>te makkelijk</w:t>
      </w:r>
      <w:r w:rsidR="004A1B9C">
        <w:t xml:space="preserve"> </w:t>
      </w:r>
      <w:r w:rsidR="00D01514">
        <w:t xml:space="preserve">om de terugverdientijd </w:t>
      </w:r>
      <w:r w:rsidR="007A5A4D">
        <w:t xml:space="preserve">op papier </w:t>
      </w:r>
      <w:r w:rsidR="00D01514">
        <w:t xml:space="preserve">meerdere jaren op te rekken, daar </w:t>
      </w:r>
      <w:r w:rsidR="00482566">
        <w:t>geeft</w:t>
      </w:r>
      <w:r w:rsidR="00D01514">
        <w:t xml:space="preserve"> een wijziging in de </w:t>
      </w:r>
      <w:r w:rsidR="007A5A4D">
        <w:t>terugverdientijd</w:t>
      </w:r>
      <w:r w:rsidR="00D01514">
        <w:t xml:space="preserve">grens voor te nemen maatregelen </w:t>
      </w:r>
      <w:r w:rsidR="00482566">
        <w:t xml:space="preserve">geen begrenzing in. </w:t>
      </w:r>
      <w:r w:rsidR="008A7085" w:rsidRPr="003B1FF3">
        <w:t>Een verbeterde standaard rekenmethodiek kan</w:t>
      </w:r>
      <w:r w:rsidR="008A7085">
        <w:t>:</w:t>
      </w:r>
      <w:r w:rsidR="008A7085" w:rsidRPr="003B1FF3">
        <w:t xml:space="preserve"> door niet standaard te rekenen met extern geld, en door </w:t>
      </w:r>
      <w:r w:rsidR="0056351F">
        <w:t xml:space="preserve">beperking van </w:t>
      </w:r>
      <w:r w:rsidR="008A7085" w:rsidRPr="003B1FF3">
        <w:t>ruime opties om extra kosten op te nemen.</w:t>
      </w:r>
    </w:p>
    <w:p w14:paraId="25EBB9AB" w14:textId="0035EB85" w:rsidR="00656534" w:rsidRDefault="003B1FF3" w:rsidP="00656534">
      <w:pPr>
        <w:pStyle w:val="Lijstalinea"/>
        <w:numPr>
          <w:ilvl w:val="0"/>
          <w:numId w:val="20"/>
        </w:numPr>
      </w:pPr>
      <w:r w:rsidRPr="003B1FF3">
        <w:rPr>
          <w:b/>
          <w:bCs/>
          <w:color w:val="4EA72E" w:themeColor="accent6"/>
        </w:rPr>
        <w:t>Zorg voor praktische training voor toezichthouders en handhavers.</w:t>
      </w:r>
      <w:r>
        <w:t xml:space="preserve"> </w:t>
      </w:r>
      <w:r w:rsidR="00656534">
        <w:t xml:space="preserve">Toezicht en handhaving op locatie is arbeidsintensief en in geval van procesindustrie vaak complex. </w:t>
      </w:r>
      <w:r>
        <w:t>G</w:t>
      </w:r>
      <w:r w:rsidR="00656534">
        <w:t xml:space="preserve">oede kennis en kunde </w:t>
      </w:r>
      <w:r>
        <w:t xml:space="preserve">is </w:t>
      </w:r>
      <w:r w:rsidR="00656534" w:rsidRPr="003D3A5C">
        <w:t>cruciaal</w:t>
      </w:r>
      <w:r w:rsidRPr="003D3A5C">
        <w:t>,</w:t>
      </w:r>
      <w:r w:rsidR="00656534" w:rsidRPr="003D3A5C">
        <w:t xml:space="preserve"> Luuk Klaassen</w:t>
      </w:r>
      <w:r w:rsidRPr="003D3A5C">
        <w:t xml:space="preserve"> refereert hier ook aan</w:t>
      </w:r>
      <w:r w:rsidR="00656534" w:rsidRPr="003D3A5C">
        <w:t xml:space="preserve"> in het </w:t>
      </w:r>
      <w:hyperlink r:id="rId10" w:history="1">
        <w:r w:rsidR="00656534" w:rsidRPr="003D3A5C">
          <w:rPr>
            <w:rStyle w:val="Hyperlink"/>
          </w:rPr>
          <w:t>Noord-Hollands Dagblad</w:t>
        </w:r>
      </w:hyperlink>
      <w:r w:rsidR="00656534" w:rsidRPr="003D3A5C">
        <w:t>. Zorg daarna</w:t>
      </w:r>
      <w:r w:rsidR="00656534">
        <w:t xml:space="preserve">ast voor intervisie tussen omgevingsdiensten, </w:t>
      </w:r>
      <w:r w:rsidR="00AC55C7">
        <w:t>van elkaar leren zal</w:t>
      </w:r>
      <w:r w:rsidR="00656534">
        <w:t xml:space="preserve"> de kwaliteit tussen omgevingsdiensten </w:t>
      </w:r>
      <w:r w:rsidR="00AC55C7">
        <w:t>meer gelijktrekken</w:t>
      </w:r>
      <w:r w:rsidR="00656534">
        <w:t xml:space="preserve">. </w:t>
      </w:r>
    </w:p>
    <w:p w14:paraId="4F6D0F2B" w14:textId="5C6C1D6E" w:rsidR="00656534" w:rsidRPr="003B1FF3" w:rsidRDefault="00901AA7" w:rsidP="00AC55C7">
      <w:pPr>
        <w:numPr>
          <w:ilvl w:val="0"/>
          <w:numId w:val="20"/>
        </w:numPr>
        <w:spacing w:line="259" w:lineRule="auto"/>
      </w:pPr>
      <w:r w:rsidRPr="003B1FF3">
        <w:rPr>
          <w:b/>
          <w:bCs/>
          <w:color w:val="4EA72E" w:themeColor="accent6"/>
        </w:rPr>
        <w:t>Vergemakkelijk de handhaving door ongeschikte equipment verboden te maken in het magazijn.</w:t>
      </w:r>
      <w:r w:rsidRPr="003B1FF3">
        <w:t xml:space="preserve"> Equipment die nu al niet mag draaien in productie – omdat een energie efficiëntere versie in alle gevallen een terugverdientijd heeft die voldoende kort is (zoals elektromotoren van voldoende klasse) – mag nog wel op voorraad liggen. Elke reden dat het onderdeel in het magazijn ligt, is omdat het geïnstalleerd zál worden in productie. Toezicht en handhaving is in een magazijn makkelijker dan in een lawaaierige en krappe productieruimte. Volledig inzetten op </w:t>
      </w:r>
      <w:r w:rsidR="003D3A5C">
        <w:t xml:space="preserve">de </w:t>
      </w:r>
      <w:proofErr w:type="spellStart"/>
      <w:r w:rsidRPr="003B1FF3">
        <w:t>ecodesign</w:t>
      </w:r>
      <w:proofErr w:type="spellEnd"/>
      <w:r w:rsidRPr="003B1FF3">
        <w:t xml:space="preserve"> </w:t>
      </w:r>
      <w:r w:rsidR="003D3A5C">
        <w:t xml:space="preserve">wet </w:t>
      </w:r>
      <w:r w:rsidRPr="003B1FF3">
        <w:t>aanscherpen, wat nieuwverkoop van ongeschikte equipment verbied</w:t>
      </w:r>
      <w:r w:rsidR="003D3A5C">
        <w:t>,</w:t>
      </w:r>
      <w:r w:rsidRPr="003B1FF3">
        <w:t xml:space="preserve"> is hierin onvoldoende; de zeer langzame overstap van de gloeilampen naar </w:t>
      </w:r>
      <w:proofErr w:type="spellStart"/>
      <w:r w:rsidRPr="003B1FF3">
        <w:t>LED-verlichting</w:t>
      </w:r>
      <w:proofErr w:type="spellEnd"/>
      <w:r w:rsidRPr="003B1FF3">
        <w:t xml:space="preserve"> laat dat wel zien. Bovendien geldt </w:t>
      </w:r>
      <w:proofErr w:type="spellStart"/>
      <w:r w:rsidRPr="003B1FF3">
        <w:t>ecodesign</w:t>
      </w:r>
      <w:proofErr w:type="spellEnd"/>
      <w:r w:rsidRPr="003B1FF3">
        <w:t xml:space="preserve"> </w:t>
      </w:r>
      <w:r w:rsidR="003D3A5C">
        <w:t>wet</w:t>
      </w:r>
      <w:r w:rsidRPr="003B1FF3">
        <w:t>geving niet voor tweedehands aankopen</w:t>
      </w:r>
      <w:r w:rsidRPr="003B1FF3">
        <w:rPr>
          <w:color w:val="EE0000"/>
        </w:rPr>
        <w:t xml:space="preserve"> </w:t>
      </w:r>
      <w:r w:rsidRPr="003B1FF3">
        <w:t xml:space="preserve">en revisies. </w:t>
      </w:r>
    </w:p>
    <w:p w14:paraId="0556F97E" w14:textId="0B997952" w:rsidR="007F2533" w:rsidRPr="00D84D0F" w:rsidRDefault="00AC55C7" w:rsidP="007F2533">
      <w:pPr>
        <w:pStyle w:val="tussenkopje"/>
      </w:pPr>
      <w:r>
        <w:t>Nadere punten ter optimalisatie</w:t>
      </w:r>
    </w:p>
    <w:p w14:paraId="0A67C6A4" w14:textId="3F825F6C" w:rsidR="00AC2C98" w:rsidRPr="00AC2C98" w:rsidRDefault="00773F02" w:rsidP="00AC2C98">
      <w:pPr>
        <w:numPr>
          <w:ilvl w:val="0"/>
          <w:numId w:val="20"/>
        </w:numPr>
        <w:spacing w:line="259" w:lineRule="auto"/>
      </w:pPr>
      <w:r w:rsidRPr="003B1FF3">
        <w:rPr>
          <w:b/>
          <w:bCs/>
          <w:color w:val="4EA72E" w:themeColor="accent6"/>
        </w:rPr>
        <w:t>Wij waarderen de verlegging van de informatieplicht van verhuurder naar huurder</w:t>
      </w:r>
      <w:r w:rsidR="00871D07">
        <w:rPr>
          <w:b/>
          <w:bCs/>
          <w:color w:val="4EA72E" w:themeColor="accent6"/>
        </w:rPr>
        <w:t xml:space="preserve">. </w:t>
      </w:r>
      <w:r w:rsidR="00871D07" w:rsidRPr="00871D07">
        <w:t xml:space="preserve">Daarmee komt, </w:t>
      </w:r>
      <w:r w:rsidR="00871D07">
        <w:t>met name bij procesmatig energieverbruik wat in de regel de hoofdmoot van het energieverbruik is</w:t>
      </w:r>
      <w:r>
        <w:t xml:space="preserve">, de verantwoordelijkheid te liggen bij de </w:t>
      </w:r>
      <w:r w:rsidR="001B03CD">
        <w:t xml:space="preserve">juiste </w:t>
      </w:r>
      <w:r>
        <w:t xml:space="preserve">partij. </w:t>
      </w:r>
      <w:r w:rsidR="00901AA7">
        <w:t>Verschuiving naar de huurder</w:t>
      </w:r>
      <w:r>
        <w:t xml:space="preserve"> vergemakkelijkt </w:t>
      </w:r>
      <w:r w:rsidR="00B12F86">
        <w:t>ook</w:t>
      </w:r>
      <w:r>
        <w:t xml:space="preserve"> toezicht en handhaving. </w:t>
      </w:r>
      <w:r>
        <w:br/>
        <w:t xml:space="preserve">Wel vraagt dit om een heldere afbakening van </w:t>
      </w:r>
      <w:r w:rsidR="001B03CD">
        <w:t xml:space="preserve">contractuele </w:t>
      </w:r>
      <w:r>
        <w:t>verantwoordelijkheden</w:t>
      </w:r>
      <w:r w:rsidR="001B03CD">
        <w:t xml:space="preserve"> tussen verhuurder en huurder:</w:t>
      </w:r>
      <w:r w:rsidR="00901AA7">
        <w:t xml:space="preserve"> </w:t>
      </w:r>
      <w:r w:rsidR="00F759B2">
        <w:t xml:space="preserve">de huurder is in deze </w:t>
      </w:r>
      <w:r w:rsidR="00B841E9">
        <w:t xml:space="preserve">aangepaste </w:t>
      </w:r>
      <w:r w:rsidR="00F759B2">
        <w:t xml:space="preserve">vorm ook verantwoordelijk voor </w:t>
      </w:r>
      <w:proofErr w:type="spellStart"/>
      <w:r>
        <w:t>gebouwgebonden</w:t>
      </w:r>
      <w:proofErr w:type="spellEnd"/>
      <w:r>
        <w:t xml:space="preserve"> maatregelen</w:t>
      </w:r>
      <w:r w:rsidR="00B841E9">
        <w:t>, die</w:t>
      </w:r>
      <w:r>
        <w:t xml:space="preserve"> eerder onder de invloed van de verhuurder vallen. Daarbij is relevant waar in de praktijk de feitelijke onderhandelingsmacht ligt tussen verhuurder en huurder. Een splitsing</w:t>
      </w:r>
      <w:r w:rsidR="00901AA7">
        <w:t xml:space="preserve"> tussen </w:t>
      </w:r>
      <w:proofErr w:type="spellStart"/>
      <w:r w:rsidR="00901AA7">
        <w:t>gebouwgebonden</w:t>
      </w:r>
      <w:proofErr w:type="spellEnd"/>
      <w:r w:rsidR="005C3D1B">
        <w:t xml:space="preserve"> (zoals dubbelglas en </w:t>
      </w:r>
      <w:r w:rsidR="003F0E23">
        <w:t>zonnepanelen</w:t>
      </w:r>
      <w:r w:rsidR="00CD309C">
        <w:t>; voor de verhuurder</w:t>
      </w:r>
      <w:r w:rsidR="003F0E23">
        <w:t>)</w:t>
      </w:r>
      <w:r w:rsidR="00901AA7">
        <w:t xml:space="preserve"> en procesmatige </w:t>
      </w:r>
      <w:r w:rsidR="003F0E23">
        <w:t>(zoals elektromotoren en installatie-isolatie</w:t>
      </w:r>
      <w:r w:rsidR="00CD309C">
        <w:t>; voor de huurder</w:t>
      </w:r>
      <w:r w:rsidR="003F0E23">
        <w:t xml:space="preserve">) </w:t>
      </w:r>
      <w:r w:rsidR="00901AA7">
        <w:t>energiebesparings</w:t>
      </w:r>
      <w:r w:rsidR="00CD309C">
        <w:t>-</w:t>
      </w:r>
      <w:r w:rsidR="00901AA7">
        <w:t>maatrege</w:t>
      </w:r>
      <w:r w:rsidR="00901AA7" w:rsidRPr="00D846FD">
        <w:t>len</w:t>
      </w:r>
      <w:r w:rsidRPr="00D846FD">
        <w:t xml:space="preserve"> kan daarom</w:t>
      </w:r>
      <w:r w:rsidR="00CD309C">
        <w:t xml:space="preserve"> het</w:t>
      </w:r>
      <w:r w:rsidRPr="00D846FD">
        <w:t xml:space="preserve"> </w:t>
      </w:r>
      <w:r w:rsidR="003F0E23">
        <w:t xml:space="preserve">meest </w:t>
      </w:r>
      <w:r w:rsidRPr="00D846FD">
        <w:t>logisch zijn, ondanks dat het toezicht en handhaving complexer maakt.</w:t>
      </w:r>
      <w:r w:rsidR="00901AA7" w:rsidRPr="00D846FD">
        <w:t xml:space="preserve"> </w:t>
      </w:r>
    </w:p>
    <w:p w14:paraId="4074C2FF" w14:textId="77777777" w:rsidR="005C626D" w:rsidRPr="00D846FD" w:rsidRDefault="005C626D" w:rsidP="005C626D">
      <w:pPr>
        <w:numPr>
          <w:ilvl w:val="0"/>
          <w:numId w:val="20"/>
        </w:numPr>
        <w:spacing w:line="259" w:lineRule="auto"/>
      </w:pPr>
      <w:r w:rsidRPr="005C626D">
        <w:rPr>
          <w:b/>
          <w:bCs/>
          <w:color w:val="4EA72E" w:themeColor="accent6"/>
        </w:rPr>
        <w:t xml:space="preserve">We waarderen het goed dat voor Overheidsgebouwen de eisen voor zon-op-dak gelijk worden getrokken met de </w:t>
      </w:r>
      <w:proofErr w:type="spellStart"/>
      <w:r w:rsidRPr="005C626D">
        <w:rPr>
          <w:b/>
          <w:bCs/>
          <w:color w:val="4EA72E" w:themeColor="accent6"/>
        </w:rPr>
        <w:t>Bbl</w:t>
      </w:r>
      <w:proofErr w:type="spellEnd"/>
      <w:r w:rsidRPr="005C626D">
        <w:rPr>
          <w:b/>
          <w:bCs/>
          <w:color w:val="4EA72E" w:themeColor="accent6"/>
        </w:rPr>
        <w:t xml:space="preserve">, en daarmee geïntensiveerd tot 10 jaar terugverdientijd. </w:t>
      </w:r>
      <w:r>
        <w:t xml:space="preserve">Deze aanpassing past bij een voorbeeldrol vanuit de Overheid om verduurzamingsmaatregelen te nemen die maatschappelijk wenselijk zijn. </w:t>
      </w:r>
    </w:p>
    <w:p w14:paraId="535F824A" w14:textId="6AC0EADC" w:rsidR="000B68C7" w:rsidRPr="00D846FD" w:rsidRDefault="00FC4683" w:rsidP="00F74BA3">
      <w:pPr>
        <w:pStyle w:val="xmsonormal"/>
        <w:numPr>
          <w:ilvl w:val="0"/>
          <w:numId w:val="20"/>
        </w:numPr>
        <w:shd w:val="clear" w:color="auto" w:fill="FFFFFF"/>
        <w:spacing w:before="0" w:beforeAutospacing="0" w:after="0" w:afterAutospacing="0"/>
        <w:rPr>
          <w:rFonts w:ascii="Calibri" w:hAnsi="Calibri" w:cs="Calibri"/>
          <w:color w:val="242424"/>
          <w:sz w:val="22"/>
          <w:szCs w:val="22"/>
        </w:rPr>
      </w:pPr>
      <w:r w:rsidRPr="00FC4683">
        <w:rPr>
          <w:rFonts w:ascii="Calibri" w:eastAsia="Calibri" w:hAnsi="Calibri" w:cs="Calibri"/>
          <w:b/>
          <w:bCs/>
          <w:color w:val="4EA72E" w:themeColor="accent6"/>
          <w:sz w:val="22"/>
          <w:szCs w:val="22"/>
        </w:rPr>
        <w:t xml:space="preserve">Wij stellen voor bedrijven onder de onderzoeksplicht het onderdeel ‘onderzoeksplicht-analyse van de aandrijfsystemen +15kW’ te vervangen door een ‘energie monitoring plicht’. </w:t>
      </w:r>
      <w:r w:rsidR="00315EB0" w:rsidRPr="00D846FD">
        <w:rPr>
          <w:rFonts w:ascii="Calibri" w:hAnsi="Calibri" w:cs="Calibri"/>
          <w:color w:val="242424"/>
          <w:sz w:val="22"/>
          <w:szCs w:val="22"/>
          <w:bdr w:val="none" w:sz="0" w:space="0" w:color="auto" w:frame="1"/>
        </w:rPr>
        <w:t>Binnen de Energiebesparingsplicht en EED</w:t>
      </w:r>
      <w:r w:rsidR="002D50DB">
        <w:rPr>
          <w:rFonts w:ascii="Calibri" w:hAnsi="Calibri" w:cs="Calibri"/>
          <w:color w:val="242424"/>
          <w:sz w:val="22"/>
          <w:szCs w:val="22"/>
          <w:bdr w:val="none" w:sz="0" w:space="0" w:color="auto" w:frame="1"/>
        </w:rPr>
        <w:t>, alsook binnen EPBD,</w:t>
      </w:r>
      <w:r w:rsidR="00315EB0" w:rsidRPr="00D846FD">
        <w:rPr>
          <w:rFonts w:ascii="Calibri" w:hAnsi="Calibri" w:cs="Calibri"/>
          <w:color w:val="242424"/>
          <w:sz w:val="22"/>
          <w:szCs w:val="22"/>
          <w:bdr w:val="none" w:sz="0" w:space="0" w:color="auto" w:frame="1"/>
        </w:rPr>
        <w:t xml:space="preserve"> nemen gelukkig de verwachtingen rondom </w:t>
      </w:r>
      <w:r w:rsidR="00315EB0" w:rsidRPr="00D846FD">
        <w:rPr>
          <w:rFonts w:ascii="Calibri" w:hAnsi="Calibri" w:cs="Calibri"/>
          <w:color w:val="242424"/>
          <w:sz w:val="22"/>
          <w:szCs w:val="22"/>
          <w:bdr w:val="none" w:sz="0" w:space="0" w:color="auto" w:frame="1"/>
        </w:rPr>
        <w:lastRenderedPageBreak/>
        <w:t>energiemonitoring</w:t>
      </w:r>
      <w:r w:rsidR="00734EEF">
        <w:rPr>
          <w:rFonts w:ascii="Calibri" w:hAnsi="Calibri" w:cs="Calibri"/>
          <w:color w:val="242424"/>
          <w:sz w:val="22"/>
          <w:szCs w:val="22"/>
          <w:bdr w:val="none" w:sz="0" w:space="0" w:color="auto" w:frame="1"/>
        </w:rPr>
        <w:t xml:space="preserve"> op installatieniveau</w:t>
      </w:r>
      <w:r w:rsidR="00315EB0" w:rsidRPr="00D846FD">
        <w:rPr>
          <w:rFonts w:ascii="Calibri" w:hAnsi="Calibri" w:cs="Calibri"/>
          <w:color w:val="242424"/>
          <w:sz w:val="22"/>
          <w:szCs w:val="22"/>
          <w:bdr w:val="none" w:sz="0" w:space="0" w:color="auto" w:frame="1"/>
        </w:rPr>
        <w:t xml:space="preserve"> toe. </w:t>
      </w:r>
      <w:r w:rsidR="00181CD0" w:rsidRPr="00D846FD">
        <w:rPr>
          <w:rFonts w:ascii="Calibri" w:hAnsi="Calibri" w:cs="Calibri"/>
          <w:color w:val="242424"/>
          <w:sz w:val="22"/>
          <w:szCs w:val="22"/>
          <w:bdr w:val="none" w:sz="0" w:space="0" w:color="auto" w:frame="1"/>
        </w:rPr>
        <w:t>Dit is goed, omdat e</w:t>
      </w:r>
      <w:r w:rsidR="00181CD0" w:rsidRPr="00D846FD">
        <w:rPr>
          <w:rFonts w:ascii="Calibri" w:hAnsi="Calibri" w:cs="Calibri"/>
          <w:color w:val="242424"/>
          <w:sz w:val="22"/>
          <w:szCs w:val="22"/>
          <w:bdr w:val="none" w:sz="0" w:space="0" w:color="auto" w:frame="1"/>
        </w:rPr>
        <w:t>nergie monitoring pra</w:t>
      </w:r>
      <w:r w:rsidR="00181CD0" w:rsidRPr="00D846FD">
        <w:rPr>
          <w:rFonts w:ascii="Calibri" w:hAnsi="Calibri" w:cs="Calibri"/>
          <w:color w:val="242424"/>
          <w:sz w:val="22"/>
          <w:szCs w:val="22"/>
          <w:bdr w:val="none" w:sz="0" w:space="0" w:color="auto" w:frame="1"/>
        </w:rPr>
        <w:t>k</w:t>
      </w:r>
      <w:r w:rsidR="00181CD0" w:rsidRPr="00D846FD">
        <w:rPr>
          <w:rFonts w:ascii="Calibri" w:hAnsi="Calibri" w:cs="Calibri"/>
          <w:color w:val="242424"/>
          <w:sz w:val="22"/>
          <w:szCs w:val="22"/>
          <w:bdr w:val="none" w:sz="0" w:space="0" w:color="auto" w:frame="1"/>
        </w:rPr>
        <w:t xml:space="preserve">tische inzichten </w:t>
      </w:r>
      <w:r w:rsidR="00181CD0" w:rsidRPr="00D846FD">
        <w:rPr>
          <w:rFonts w:ascii="Calibri" w:hAnsi="Calibri" w:cs="Calibri"/>
          <w:color w:val="242424"/>
          <w:sz w:val="22"/>
          <w:szCs w:val="22"/>
          <w:bdr w:val="none" w:sz="0" w:space="0" w:color="auto" w:frame="1"/>
        </w:rPr>
        <w:t xml:space="preserve">geeft </w:t>
      </w:r>
      <w:r w:rsidR="00181CD0" w:rsidRPr="00D846FD">
        <w:rPr>
          <w:rFonts w:ascii="Calibri" w:hAnsi="Calibri" w:cs="Calibri"/>
          <w:color w:val="242424"/>
          <w:sz w:val="22"/>
          <w:szCs w:val="22"/>
          <w:bdr w:val="none" w:sz="0" w:space="0" w:color="auto" w:frame="1"/>
        </w:rPr>
        <w:t xml:space="preserve">die 10 tot 40% energie besparingen kunnen opleveren, </w:t>
      </w:r>
      <w:r w:rsidR="00085723" w:rsidRPr="00D846FD">
        <w:rPr>
          <w:rFonts w:ascii="Calibri" w:hAnsi="Calibri" w:cs="Calibri"/>
          <w:color w:val="242424"/>
          <w:sz w:val="22"/>
          <w:szCs w:val="22"/>
          <w:bdr w:val="none" w:sz="0" w:space="0" w:color="auto" w:frame="1"/>
        </w:rPr>
        <w:t xml:space="preserve">deels zelfs </w:t>
      </w:r>
      <w:r w:rsidR="00181CD0" w:rsidRPr="00D846FD">
        <w:rPr>
          <w:rFonts w:ascii="Calibri" w:hAnsi="Calibri" w:cs="Calibri"/>
          <w:color w:val="242424"/>
          <w:sz w:val="22"/>
          <w:szCs w:val="22"/>
          <w:bdr w:val="none" w:sz="0" w:space="0" w:color="auto" w:frame="1"/>
        </w:rPr>
        <w:t>zonder investeringen</w:t>
      </w:r>
      <w:r w:rsidR="00085723" w:rsidRPr="00D846FD">
        <w:rPr>
          <w:rFonts w:ascii="Calibri" w:hAnsi="Calibri" w:cs="Calibri"/>
          <w:color w:val="242424"/>
          <w:sz w:val="22"/>
          <w:szCs w:val="22"/>
          <w:bdr w:val="none" w:sz="0" w:space="0" w:color="auto" w:frame="1"/>
        </w:rPr>
        <w:t>, maar alleen met</w:t>
      </w:r>
      <w:r w:rsidR="00181CD0" w:rsidRPr="00D846FD">
        <w:rPr>
          <w:rFonts w:ascii="Calibri" w:hAnsi="Calibri" w:cs="Calibri"/>
          <w:color w:val="242424"/>
          <w:sz w:val="22"/>
          <w:szCs w:val="22"/>
          <w:bdr w:val="none" w:sz="0" w:space="0" w:color="auto" w:frame="1"/>
        </w:rPr>
        <w:t xml:space="preserve"> aangepast gedrag. </w:t>
      </w:r>
      <w:r w:rsidR="003438E7">
        <w:rPr>
          <w:rFonts w:ascii="Calibri" w:hAnsi="Calibri" w:cs="Calibri"/>
          <w:color w:val="242424"/>
          <w:sz w:val="22"/>
          <w:szCs w:val="22"/>
          <w:bdr w:val="none" w:sz="0" w:space="0" w:color="auto" w:frame="1"/>
        </w:rPr>
        <w:t xml:space="preserve">Hiermee speelt dan tevens het </w:t>
      </w:r>
      <w:r w:rsidR="00F74BA3" w:rsidRPr="00D846FD">
        <w:rPr>
          <w:rFonts w:ascii="Calibri" w:hAnsi="Calibri" w:cs="Calibri"/>
          <w:color w:val="242424"/>
          <w:sz w:val="22"/>
          <w:szCs w:val="22"/>
          <w:bdr w:val="none" w:sz="0" w:space="0" w:color="auto" w:frame="1"/>
        </w:rPr>
        <w:t>kapot</w:t>
      </w:r>
      <w:r w:rsidR="003438E7">
        <w:rPr>
          <w:rFonts w:ascii="Calibri" w:hAnsi="Calibri" w:cs="Calibri"/>
          <w:color w:val="242424"/>
          <w:sz w:val="22"/>
          <w:szCs w:val="22"/>
          <w:bdr w:val="none" w:sz="0" w:space="0" w:color="auto" w:frame="1"/>
        </w:rPr>
        <w:t>-</w:t>
      </w:r>
      <w:r w:rsidR="00F74BA3" w:rsidRPr="00D846FD">
        <w:rPr>
          <w:rFonts w:ascii="Calibri" w:hAnsi="Calibri" w:cs="Calibri"/>
          <w:color w:val="242424"/>
          <w:sz w:val="22"/>
          <w:szCs w:val="22"/>
          <w:bdr w:val="none" w:sz="0" w:space="0" w:color="auto" w:frame="1"/>
        </w:rPr>
        <w:t>reken</w:t>
      </w:r>
      <w:r w:rsidR="003438E7">
        <w:rPr>
          <w:rFonts w:ascii="Calibri" w:hAnsi="Calibri" w:cs="Calibri"/>
          <w:color w:val="242424"/>
          <w:sz w:val="22"/>
          <w:szCs w:val="22"/>
          <w:bdr w:val="none" w:sz="0" w:space="0" w:color="auto" w:frame="1"/>
        </w:rPr>
        <w:t>en niet meer</w:t>
      </w:r>
      <w:r w:rsidR="00F74BA3" w:rsidRPr="00D846FD">
        <w:rPr>
          <w:rFonts w:ascii="Calibri" w:hAnsi="Calibri" w:cs="Calibri"/>
          <w:color w:val="242424"/>
          <w:sz w:val="22"/>
          <w:szCs w:val="22"/>
          <w:bdr w:val="none" w:sz="0" w:space="0" w:color="auto" w:frame="1"/>
        </w:rPr>
        <w:t>.</w:t>
      </w:r>
      <w:r w:rsidR="000B68C7" w:rsidRPr="00D846FD">
        <w:rPr>
          <w:rFonts w:ascii="Calibri" w:hAnsi="Calibri" w:cs="Calibri"/>
          <w:color w:val="242424"/>
          <w:sz w:val="22"/>
          <w:szCs w:val="22"/>
          <w:bdr w:val="none" w:sz="0" w:space="0" w:color="auto" w:frame="1"/>
        </w:rPr>
        <w:t xml:space="preserve"> </w:t>
      </w:r>
    </w:p>
    <w:p w14:paraId="1C88E19D" w14:textId="77777777" w:rsidR="005C626D" w:rsidRDefault="005C626D" w:rsidP="005C626D">
      <w:pPr>
        <w:numPr>
          <w:ilvl w:val="0"/>
          <w:numId w:val="20"/>
        </w:numPr>
        <w:spacing w:line="259" w:lineRule="auto"/>
      </w:pPr>
      <w:r w:rsidRPr="00F87B58">
        <w:rPr>
          <w:b/>
          <w:bCs/>
          <w:color w:val="4EA72E" w:themeColor="accent6"/>
        </w:rPr>
        <w:t>Waardeer integrale oplossingen, zodat bedrijven kiezen voor systeemoptimalisatie in plaats van minimale compliance.</w:t>
      </w:r>
      <w:r>
        <w:t xml:space="preserve"> </w:t>
      </w:r>
      <w:r w:rsidRPr="00453698">
        <w:t xml:space="preserve">De huidige plicht beloont vooral losse maatregelen, terwijl geïntegreerde </w:t>
      </w:r>
      <w:r>
        <w:t>oplossing</w:t>
      </w:r>
      <w:r w:rsidRPr="00453698">
        <w:t xml:space="preserve"> (b</w:t>
      </w:r>
      <w:r>
        <w:t>ij</w:t>
      </w:r>
      <w:r w:rsidRPr="00453698">
        <w:t>v. EMS, zonnepanelen, warmtepompen</w:t>
      </w:r>
      <w:r>
        <w:t>, opslag</w:t>
      </w:r>
      <w:r w:rsidRPr="00453698">
        <w:t xml:space="preserve"> </w:t>
      </w:r>
      <w:r>
        <w:t>é</w:t>
      </w:r>
      <w:r w:rsidRPr="00453698">
        <w:t xml:space="preserve">n congestiediensten) meer CO₂-reductie, efficiëntie en netontlasting opleveren. </w:t>
      </w:r>
      <w:r>
        <w:t xml:space="preserve">Zet hier ook op in bij training van toezichthouders. </w:t>
      </w:r>
    </w:p>
    <w:p w14:paraId="2D996CEC" w14:textId="77777777" w:rsidR="005C626D" w:rsidRDefault="005C626D" w:rsidP="005C626D">
      <w:pPr>
        <w:numPr>
          <w:ilvl w:val="0"/>
          <w:numId w:val="20"/>
        </w:numPr>
        <w:spacing w:line="259" w:lineRule="auto"/>
      </w:pPr>
      <w:r w:rsidRPr="00D846FD">
        <w:rPr>
          <w:b/>
          <w:bCs/>
          <w:color w:val="4EA72E" w:themeColor="accent6"/>
        </w:rPr>
        <w:t>Wij stellen voor om rapportage cycli en de inhoud ervan af te stemmen met verplichtingen uit het Europese Efficiency Directive (EED).</w:t>
      </w:r>
      <w:r w:rsidRPr="00D846FD">
        <w:t xml:space="preserve"> Oplos</w:t>
      </w:r>
      <w:r>
        <w:t xml:space="preserve">sen van die mismatch zorgt ervoor dat soortgelijke rapportages niet dubbel gemaakt hoeven te worden, wat erg fijn is voor regeldruk reduceren. De tijdsinzet kan dan besteed worden aan daadwerkelijke verduurzaming, in plaats van alleen de rapportage erover, hoe zinvol een rapportage en aandacht daarvoor ook is. </w:t>
      </w:r>
    </w:p>
    <w:p w14:paraId="482F7524" w14:textId="4BF3E7B6" w:rsidR="00C44DCB" w:rsidRPr="00C44DCB" w:rsidRDefault="00C44DCB" w:rsidP="1073F7CC">
      <w:pPr>
        <w:numPr>
          <w:ilvl w:val="0"/>
          <w:numId w:val="20"/>
        </w:numPr>
        <w:spacing w:line="259" w:lineRule="auto"/>
        <w:rPr>
          <w:b/>
          <w:bCs/>
          <w:color w:val="4EA72E" w:themeColor="accent6"/>
        </w:rPr>
      </w:pPr>
      <w:r w:rsidRPr="00C44DCB">
        <w:rPr>
          <w:b/>
          <w:bCs/>
          <w:color w:val="4EA72E" w:themeColor="accent6"/>
        </w:rPr>
        <w:t>Het blijft van belang dat er nu, en ook na 2030, voldoende aanpalende subsidies en financieringsinstrumenten beschikbaar zijn om maatregelen uit te voeren.</w:t>
      </w:r>
    </w:p>
    <w:p w14:paraId="60A3BE93" w14:textId="77777777" w:rsidR="00901AA7" w:rsidRDefault="00901AA7" w:rsidP="00901AA7">
      <w:pPr>
        <w:spacing w:line="259" w:lineRule="auto"/>
      </w:pPr>
    </w:p>
    <w:p w14:paraId="2AEF7C55" w14:textId="77777777" w:rsidR="00901AA7" w:rsidRPr="00901AA7" w:rsidRDefault="00901AA7" w:rsidP="00901AA7">
      <w:pPr>
        <w:spacing w:line="259" w:lineRule="auto"/>
        <w:rPr>
          <w:highlight w:val="yellow"/>
        </w:rPr>
      </w:pPr>
    </w:p>
    <w:p w14:paraId="34753EC7" w14:textId="1842C5F4" w:rsidR="00B94DF0" w:rsidRPr="007E1D07" w:rsidRDefault="0093311D" w:rsidP="00B94DF0">
      <w:pPr>
        <w:rPr>
          <w:b/>
          <w:bCs/>
        </w:rPr>
      </w:pPr>
      <w:r w:rsidRPr="0093311D">
        <w:rPr>
          <w:b/>
          <w:bCs/>
        </w:rPr>
        <w:t xml:space="preserve">Wij wensen u veel succes in de verwerking van de consultatie reacties. Bij vragen of opmerkingen kunt u </w:t>
      </w:r>
      <w:r>
        <w:rPr>
          <w:b/>
          <w:bCs/>
        </w:rPr>
        <w:t xml:space="preserve">altijd </w:t>
      </w:r>
      <w:r w:rsidRPr="0093311D">
        <w:rPr>
          <w:b/>
          <w:bCs/>
        </w:rPr>
        <w:t>contact opnemen met</w:t>
      </w:r>
      <w:r w:rsidR="00E63E3E">
        <w:rPr>
          <w:b/>
          <w:bCs/>
        </w:rPr>
        <w:t xml:space="preserve"> ons via</w:t>
      </w:r>
      <w:r w:rsidRPr="0093311D">
        <w:rPr>
          <w:b/>
          <w:bCs/>
        </w:rPr>
        <w:t xml:space="preserve"> Tessa Hermens – van Ruremonde (</w:t>
      </w:r>
      <w:hyperlink r:id="rId11" w:history="1">
        <w:r w:rsidRPr="0093311D">
          <w:rPr>
            <w:rStyle w:val="Hyperlink"/>
            <w:b/>
            <w:bCs/>
          </w:rPr>
          <w:t>tessahermens@nvde.nl</w:t>
        </w:r>
      </w:hyperlink>
      <w:r w:rsidRPr="0093311D">
        <w:rPr>
          <w:b/>
          <w:bCs/>
        </w:rPr>
        <w:t>).</w:t>
      </w:r>
      <w:r w:rsidR="00410269">
        <w:rPr>
          <w:b/>
          <w:bCs/>
        </w:rPr>
        <w:t xml:space="preserve"> We denken graag mee. </w:t>
      </w:r>
    </w:p>
    <w:p w14:paraId="6200AEEE" w14:textId="77777777" w:rsidR="00A545C7" w:rsidRPr="006437DD" w:rsidRDefault="00A545C7" w:rsidP="00B94DF0">
      <w:pPr>
        <w:rPr>
          <w:color w:val="000000"/>
        </w:rPr>
      </w:pPr>
    </w:p>
    <w:p w14:paraId="10F61B5B" w14:textId="77777777" w:rsidR="00B94DF0" w:rsidRPr="00B94DF0" w:rsidRDefault="00B94DF0" w:rsidP="00B94DF0">
      <w:pPr>
        <w:pStyle w:val="tussenkopje"/>
        <w:rPr>
          <w:b w:val="0"/>
          <w:color w:val="FFFFFF" w:themeColor="background1"/>
        </w:rPr>
      </w:pPr>
      <w:r w:rsidRPr="00D755FE">
        <w:rPr>
          <w:b w:val="0"/>
          <w:noProof/>
          <w:color w:val="FFFFFF" w:themeColor="background1"/>
          <w14:ligatures w14:val="standardContextual"/>
        </w:rPr>
        <mc:AlternateContent>
          <mc:Choice Requires="wps">
            <w:drawing>
              <wp:anchor distT="0" distB="0" distL="114300" distR="114300" simplePos="0" relativeHeight="251658240" behindDoc="1" locked="0" layoutInCell="1" allowOverlap="1" wp14:anchorId="4C843B57" wp14:editId="78A937A2">
                <wp:simplePos x="0" y="0"/>
                <wp:positionH relativeFrom="column">
                  <wp:posOffset>-179033</wp:posOffset>
                </wp:positionH>
                <wp:positionV relativeFrom="paragraph">
                  <wp:posOffset>81280</wp:posOffset>
                </wp:positionV>
                <wp:extent cx="6486861" cy="1420009"/>
                <wp:effectExtent l="0" t="0" r="9525" b="8890"/>
                <wp:wrapNone/>
                <wp:docPr id="1993192347" name="Rechthoek: afgeronde hoeken 2"/>
                <wp:cNvGraphicFramePr/>
                <a:graphic xmlns:a="http://schemas.openxmlformats.org/drawingml/2006/main">
                  <a:graphicData uri="http://schemas.microsoft.com/office/word/2010/wordprocessingShape">
                    <wps:wsp>
                      <wps:cNvSpPr/>
                      <wps:spPr>
                        <a:xfrm>
                          <a:off x="0" y="0"/>
                          <a:ext cx="6486861" cy="1420009"/>
                        </a:xfrm>
                        <a:prstGeom prst="round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DB1A72" id="Rechthoek: afgeronde hoeken 2" o:spid="_x0000_s1026" style="position:absolute;margin-left:-14.1pt;margin-top:6.4pt;width:510.8pt;height:11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" fillcolor="#4ea72e [3209]" stroked="f" strokeweight="1pt">
                <v:stroke joinstyle="miter"/>
              </v:roundrect>
            </w:pict>
          </mc:Fallback>
        </mc:AlternateContent>
      </w:r>
      <w:r w:rsidRPr="00D755FE">
        <w:rPr>
          <w:rStyle w:val="tussenkopjeChar"/>
          <w:color w:val="FFFFFF" w:themeColor="background1"/>
        </w:rPr>
        <w:t>De Nederlandse Vereniging Duurzame Energie (NVDE) maakt zich sterk voor een energievoorziening die volledig is gebaseerd op hernieuwbare energie door het bundelen van krachten uit de gehele sector. De aangesloten bedrijven zijn actief in hernieuwbare elektriciteit, warmte en gassen en in duurzame mobiliteit, de gebouwde omgeving en de industrie. De activiteiten voor duurzame energie bij 1.600 aangesloten bedrijven vertegenwoordigen nu al een omzet van ruim € 43 miljard en bijna 200.000 werknemers in Nederland.</w:t>
      </w:r>
    </w:p>
    <w:sectPr w:rsidR="00B94DF0" w:rsidRPr="00B94DF0" w:rsidSect="000A76B1">
      <w:headerReference w:type="default" r:id="rId12"/>
      <w:headerReference w:type="first" r:id="rId13"/>
      <w:footerReference w:type="first" r:id="rId14"/>
      <w:pgSz w:w="11906" w:h="16838"/>
      <w:pgMar w:top="2801" w:right="1440" w:bottom="886" w:left="709" w:header="110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1AE7" w14:textId="77777777" w:rsidR="00347924" w:rsidRDefault="00347924" w:rsidP="0063017C">
      <w:r>
        <w:separator/>
      </w:r>
    </w:p>
  </w:endnote>
  <w:endnote w:type="continuationSeparator" w:id="0">
    <w:p w14:paraId="5D58E383" w14:textId="77777777" w:rsidR="00347924" w:rsidRDefault="00347924" w:rsidP="0063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E00082FF" w:usb1="4000205F" w:usb2="08000029"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roxima Nova Extrabold">
    <w:altName w:val="Tahoma"/>
    <w:charset w:val="00"/>
    <w:family w:val="modern"/>
    <w:pitch w:val="variable"/>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33BE" w14:textId="77777777" w:rsidR="00B6623C" w:rsidRDefault="000A76B1" w:rsidP="0063017C">
    <w:pPr>
      <w:pStyle w:val="Voettekst"/>
    </w:pPr>
    <w:r w:rsidRPr="00DE050F">
      <w:rPr>
        <w:noProof/>
      </w:rPr>
      <w:drawing>
        <wp:anchor distT="0" distB="0" distL="114300" distR="114300" simplePos="0" relativeHeight="251658241" behindDoc="1" locked="0" layoutInCell="1" allowOverlap="0" wp14:anchorId="4C40DA81" wp14:editId="6F0B55C3">
          <wp:simplePos x="0" y="0"/>
          <wp:positionH relativeFrom="page">
            <wp:align>center</wp:align>
          </wp:positionH>
          <wp:positionV relativeFrom="page">
            <wp:align>bottom</wp:align>
          </wp:positionV>
          <wp:extent cx="7560000" cy="1785600"/>
          <wp:effectExtent l="0" t="0" r="0" b="0"/>
          <wp:wrapTopAndBottom/>
          <wp:docPr id="9772776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32806" name="Graphic 1184132806"/>
                  <pic:cNvPicPr/>
                </pic:nvPicPr>
                <pic:blipFill rotWithShape="1">
                  <a:blip r:embed="rId1">
                    <a:extLst>
                      <a:ext uri="{96DAC541-7B7A-43D3-8B79-37D633B846F1}">
                        <asvg:svgBlip xmlns:asvg="http://schemas.microsoft.com/office/drawing/2016/SVG/main" r:embed="rId2"/>
                      </a:ext>
                    </a:extLst>
                  </a:blip>
                  <a:srcRect t="83314"/>
                  <a:stretch/>
                </pic:blipFill>
                <pic:spPr bwMode="auto">
                  <a:xfrm>
                    <a:off x="0" y="0"/>
                    <a:ext cx="7560000" cy="178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E11AB" w14:textId="77777777" w:rsidR="00347924" w:rsidRDefault="00347924" w:rsidP="0063017C">
      <w:r>
        <w:separator/>
      </w:r>
    </w:p>
  </w:footnote>
  <w:footnote w:type="continuationSeparator" w:id="0">
    <w:p w14:paraId="53BFDDE3" w14:textId="77777777" w:rsidR="00347924" w:rsidRDefault="00347924" w:rsidP="00630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D681" w14:textId="77777777" w:rsidR="00CE2916" w:rsidRPr="00DE050F" w:rsidRDefault="000A76B1" w:rsidP="0063017C">
    <w:pPr>
      <w:pStyle w:val="Koptekst"/>
    </w:pPr>
    <w:r w:rsidRPr="00DE050F">
      <w:rPr>
        <w:noProof/>
      </w:rPr>
      <w:drawing>
        <wp:anchor distT="0" distB="0" distL="114300" distR="114300" simplePos="0" relativeHeight="251658242" behindDoc="1" locked="0" layoutInCell="1" allowOverlap="0" wp14:anchorId="4D002F74" wp14:editId="1B295F3E">
          <wp:simplePos x="0" y="0"/>
          <wp:positionH relativeFrom="page">
            <wp:align>center</wp:align>
          </wp:positionH>
          <wp:positionV relativeFrom="page">
            <wp:align>top</wp:align>
          </wp:positionV>
          <wp:extent cx="7560000" cy="3726000"/>
          <wp:effectExtent l="0" t="0" r="0" b="0"/>
          <wp:wrapNone/>
          <wp:docPr id="12908160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32806" name="Graphic 1184132806"/>
                  <pic:cNvPicPr/>
                </pic:nvPicPr>
                <pic:blipFill rotWithShape="1">
                  <a:blip r:embed="rId1">
                    <a:extLst>
                      <a:ext uri="{96DAC541-7B7A-43D3-8B79-37D633B846F1}">
                        <asvg:svgBlip xmlns:asvg="http://schemas.microsoft.com/office/drawing/2016/SVG/main" r:embed="rId2"/>
                      </a:ext>
                    </a:extLst>
                  </a:blip>
                  <a:srcRect b="65165"/>
                  <a:stretch/>
                </pic:blipFill>
                <pic:spPr bwMode="auto">
                  <a:xfrm>
                    <a:off x="0" y="0"/>
                    <a:ext cx="7560000" cy="372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B6623C" w:rsidRPr="00B6623C">
      <w:t>Positi</w:t>
    </w:r>
    <w:r w:rsidR="003E38AB">
      <w:t>on</w:t>
    </w:r>
    <w:proofErr w:type="spellEnd"/>
    <w:r w:rsidR="003E38AB">
      <w:t xml:space="preserv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B497" w14:textId="091BBC06" w:rsidR="00B6623C" w:rsidRDefault="000A76B1" w:rsidP="0063017C">
    <w:pPr>
      <w:pStyle w:val="Koptekst"/>
    </w:pPr>
    <w:r w:rsidRPr="00DE050F">
      <w:rPr>
        <w:noProof/>
      </w:rPr>
      <w:drawing>
        <wp:anchor distT="0" distB="0" distL="114300" distR="114300" simplePos="0" relativeHeight="251658240" behindDoc="1" locked="0" layoutInCell="1" allowOverlap="0" wp14:anchorId="1D3788CB" wp14:editId="7687A138">
          <wp:simplePos x="0" y="0"/>
          <wp:positionH relativeFrom="page">
            <wp:align>center</wp:align>
          </wp:positionH>
          <wp:positionV relativeFrom="page">
            <wp:align>top</wp:align>
          </wp:positionV>
          <wp:extent cx="7559675" cy="3725694"/>
          <wp:effectExtent l="0" t="0" r="0" b="0"/>
          <wp:wrapNone/>
          <wp:docPr id="118413280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32806" name="Graphic 1184132806"/>
                  <pic:cNvPicPr/>
                </pic:nvPicPr>
                <pic:blipFill rotWithShape="1">
                  <a:blip r:embed="rId1">
                    <a:extLst>
                      <a:ext uri="{96DAC541-7B7A-43D3-8B79-37D633B846F1}">
                        <asvg:svgBlip xmlns:asvg="http://schemas.microsoft.com/office/drawing/2016/SVG/main" r:embed="rId2"/>
                      </a:ext>
                    </a:extLst>
                  </a:blip>
                  <a:srcRect b="65165"/>
                  <a:stretch/>
                </pic:blipFill>
                <pic:spPr bwMode="auto">
                  <a:xfrm>
                    <a:off x="0" y="0"/>
                    <a:ext cx="7560000" cy="37258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D767F">
      <w:t>Consultatie reactie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ED3"/>
    <w:multiLevelType w:val="multilevel"/>
    <w:tmpl w:val="8B642158"/>
    <w:lvl w:ilvl="0">
      <w:start w:val="1"/>
      <w:numFmt w:val="bullet"/>
      <w:pStyle w:val="NVDEBullets"/>
      <w:lvlText w:val=""/>
      <w:lvlJc w:val="left"/>
      <w:pPr>
        <w:ind w:left="360" w:hanging="360"/>
      </w:pPr>
      <w:rPr>
        <w:rFonts w:ascii="Symbol" w:hAnsi="Symbol" w:hint="default"/>
        <w:b/>
        <w:color w:val="74B959"/>
      </w:rPr>
    </w:lvl>
    <w:lvl w:ilvl="1">
      <w:start w:val="1"/>
      <w:numFmt w:val="bullet"/>
      <w:lvlText w:val="-"/>
      <w:lvlJc w:val="left"/>
      <w:pPr>
        <w:ind w:left="720" w:hanging="363"/>
      </w:pPr>
      <w:rPr>
        <w:rFonts w:ascii="Courier New" w:hAnsi="Courier New" w:hint="default"/>
        <w:color w:val="74B959"/>
      </w:rPr>
    </w:lvl>
    <w:lvl w:ilvl="2">
      <w:start w:val="1"/>
      <w:numFmt w:val="bullet"/>
      <w:lvlText w:val="■"/>
      <w:lvlJc w:val="left"/>
      <w:pPr>
        <w:ind w:left="1080" w:hanging="360"/>
      </w:pPr>
      <w:rPr>
        <w:rFonts w:ascii="Noto Sans Symbols" w:hAnsi="Noto Sans Symbols" w:hint="default"/>
      </w:rPr>
    </w:lvl>
    <w:lvl w:ilvl="3">
      <w:start w:val="1"/>
      <w:numFmt w:val="bullet"/>
      <w:lvlText w:val="●"/>
      <w:lvlJc w:val="left"/>
      <w:pPr>
        <w:ind w:left="1800" w:hanging="360"/>
      </w:pPr>
      <w:rPr>
        <w:rFonts w:ascii="Noto Sans Symbols" w:eastAsia="Noto Sans Symbols" w:hAnsi="Noto Sans Symbols" w:cs="Noto Sans Symbols" w:hint="default"/>
      </w:rPr>
    </w:lvl>
    <w:lvl w:ilvl="4">
      <w:start w:val="1"/>
      <w:numFmt w:val="bullet"/>
      <w:lvlText w:val="○"/>
      <w:lvlJc w:val="left"/>
      <w:pPr>
        <w:ind w:left="2520" w:hanging="360"/>
      </w:pPr>
      <w:rPr>
        <w:rFonts w:ascii="Courier New" w:eastAsia="Courier New" w:hAnsi="Courier New" w:cs="Courier New" w:hint="default"/>
      </w:rPr>
    </w:lvl>
    <w:lvl w:ilvl="5">
      <w:start w:val="1"/>
      <w:numFmt w:val="bullet"/>
      <w:lvlText w:val="■"/>
      <w:lvlJc w:val="left"/>
      <w:pPr>
        <w:ind w:left="3240" w:hanging="360"/>
      </w:pPr>
      <w:rPr>
        <w:rFonts w:ascii="Noto Sans Symbols" w:eastAsia="Noto Sans Symbols" w:hAnsi="Noto Sans Symbols" w:cs="Noto Sans Symbols" w:hint="default"/>
      </w:rPr>
    </w:lvl>
    <w:lvl w:ilvl="6">
      <w:start w:val="1"/>
      <w:numFmt w:val="bullet"/>
      <w:lvlText w:val="●"/>
      <w:lvlJc w:val="left"/>
      <w:pPr>
        <w:ind w:left="3960" w:hanging="360"/>
      </w:pPr>
      <w:rPr>
        <w:rFonts w:ascii="Noto Sans Symbols" w:eastAsia="Noto Sans Symbols" w:hAnsi="Noto Sans Symbols" w:cs="Noto Sans Symbols" w:hint="default"/>
      </w:rPr>
    </w:lvl>
    <w:lvl w:ilvl="7">
      <w:start w:val="1"/>
      <w:numFmt w:val="bullet"/>
      <w:lvlText w:val="○"/>
      <w:lvlJc w:val="left"/>
      <w:pPr>
        <w:ind w:left="4680" w:hanging="360"/>
      </w:pPr>
      <w:rPr>
        <w:rFonts w:ascii="Courier New" w:eastAsia="Courier New" w:hAnsi="Courier New" w:cs="Courier New" w:hint="default"/>
      </w:rPr>
    </w:lvl>
    <w:lvl w:ilvl="8">
      <w:start w:val="1"/>
      <w:numFmt w:val="bullet"/>
      <w:lvlText w:val="■"/>
      <w:lvlJc w:val="left"/>
      <w:pPr>
        <w:ind w:left="5400" w:hanging="360"/>
      </w:pPr>
      <w:rPr>
        <w:rFonts w:ascii="Noto Sans Symbols" w:eastAsia="Noto Sans Symbols" w:hAnsi="Noto Sans Symbols" w:cs="Noto Sans Symbols" w:hint="default"/>
      </w:rPr>
    </w:lvl>
  </w:abstractNum>
  <w:abstractNum w:abstractNumId="1" w15:restartNumberingAfterBreak="0">
    <w:nsid w:val="04E7456D"/>
    <w:multiLevelType w:val="hybridMultilevel"/>
    <w:tmpl w:val="C664950C"/>
    <w:lvl w:ilvl="0" w:tplc="839A08CA">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05CA3593"/>
    <w:multiLevelType w:val="hybridMultilevel"/>
    <w:tmpl w:val="C26ADE90"/>
    <w:lvl w:ilvl="0" w:tplc="95F69C32">
      <w:numFmt w:val="bullet"/>
      <w:lvlText w:val="•"/>
      <w:lvlJc w:val="left"/>
      <w:pPr>
        <w:ind w:left="1060" w:hanging="70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2E251B"/>
    <w:multiLevelType w:val="multilevel"/>
    <w:tmpl w:val="7E4A4D3A"/>
    <w:lvl w:ilvl="0">
      <w:start w:val="1"/>
      <w:numFmt w:val="bullet"/>
      <w:lvlText w:val="-"/>
      <w:lvlJc w:val="left"/>
      <w:pPr>
        <w:ind w:left="720" w:hanging="360"/>
      </w:pPr>
      <w:rPr>
        <w:color w:val="62B45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41151A"/>
    <w:multiLevelType w:val="multilevel"/>
    <w:tmpl w:val="7202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3633D"/>
    <w:multiLevelType w:val="hybridMultilevel"/>
    <w:tmpl w:val="DBD05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36141C"/>
    <w:multiLevelType w:val="hybridMultilevel"/>
    <w:tmpl w:val="6068F2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CA22585"/>
    <w:multiLevelType w:val="multilevel"/>
    <w:tmpl w:val="198C5E8A"/>
    <w:lvl w:ilvl="0">
      <w:start w:val="1"/>
      <w:numFmt w:val="bullet"/>
      <w:lvlText w:val=""/>
      <w:lvlJc w:val="left"/>
      <w:pPr>
        <w:tabs>
          <w:tab w:val="num" w:pos="720"/>
        </w:tabs>
        <w:ind w:left="720" w:hanging="360"/>
      </w:pPr>
      <w:rPr>
        <w:rFonts w:ascii="Symbol" w:hAnsi="Symbol" w:hint="default"/>
        <w:color w:val="4EA72E" w:themeColor="accent6"/>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B7708"/>
    <w:multiLevelType w:val="hybridMultilevel"/>
    <w:tmpl w:val="3D1CE226"/>
    <w:lvl w:ilvl="0" w:tplc="FFFFFFFF">
      <w:start w:val="1"/>
      <w:numFmt w:val="bullet"/>
      <w:lvlText w:val=""/>
      <w:lvlJc w:val="left"/>
      <w:pPr>
        <w:ind w:left="720" w:hanging="360"/>
      </w:pPr>
      <w:rPr>
        <w:rFonts w:ascii="Symbol" w:hAnsi="Symbol" w:hint="default"/>
        <w:color w:val="92D050"/>
      </w:rPr>
    </w:lvl>
    <w:lvl w:ilvl="1" w:tplc="04130015">
      <w:start w:val="1"/>
      <w:numFmt w:val="upp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2F5FA2"/>
    <w:multiLevelType w:val="hybridMultilevel"/>
    <w:tmpl w:val="AEF45A3A"/>
    <w:lvl w:ilvl="0" w:tplc="FFFFFFFF">
      <w:start w:val="1"/>
      <w:numFmt w:val="bullet"/>
      <w:lvlText w:val=""/>
      <w:lvlJc w:val="left"/>
      <w:pPr>
        <w:ind w:left="720" w:hanging="360"/>
      </w:pPr>
      <w:rPr>
        <w:rFonts w:ascii="Symbol" w:hAnsi="Symbol" w:hint="default"/>
        <w:color w:val="92D050"/>
      </w:rPr>
    </w:lvl>
    <w:lvl w:ilvl="1" w:tplc="0413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463BF0"/>
    <w:multiLevelType w:val="multilevel"/>
    <w:tmpl w:val="A93866BC"/>
    <w:lvl w:ilvl="0">
      <w:start w:val="1"/>
      <w:numFmt w:val="decimal"/>
      <w:pStyle w:val="Kop1"/>
      <w:suff w:val="space"/>
      <w:lvlText w:val="%1."/>
      <w:lvlJc w:val="left"/>
      <w:pPr>
        <w:ind w:left="284" w:hanging="284"/>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1" w15:restartNumberingAfterBreak="0">
    <w:nsid w:val="3CC50A75"/>
    <w:multiLevelType w:val="hybridMultilevel"/>
    <w:tmpl w:val="7DF48A22"/>
    <w:lvl w:ilvl="0" w:tplc="FFFFFFFF">
      <w:start w:val="1"/>
      <w:numFmt w:val="bullet"/>
      <w:lvlText w:val=""/>
      <w:lvlJc w:val="left"/>
      <w:pPr>
        <w:ind w:left="720" w:hanging="360"/>
      </w:pPr>
      <w:rPr>
        <w:rFonts w:ascii="Symbol" w:hAnsi="Symbol" w:hint="default"/>
        <w:color w:val="92D050"/>
      </w:rPr>
    </w:lvl>
    <w:lvl w:ilvl="1" w:tplc="0413000F">
      <w:start w:val="1"/>
      <w:numFmt w:val="decimal"/>
      <w:lvlText w:val="%2."/>
      <w:lvlJc w:val="left"/>
      <w:pPr>
        <w:ind w:left="1440" w:hanging="360"/>
      </w:p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4827DBC"/>
    <w:multiLevelType w:val="hybridMultilevel"/>
    <w:tmpl w:val="D6E811EE"/>
    <w:lvl w:ilvl="0" w:tplc="FFFFFFFF">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4AD2AFF"/>
    <w:multiLevelType w:val="hybridMultilevel"/>
    <w:tmpl w:val="3F9E18DA"/>
    <w:lvl w:ilvl="0" w:tplc="FFFFFFFF">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C47D28"/>
    <w:multiLevelType w:val="multilevel"/>
    <w:tmpl w:val="59C0AA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0703DD"/>
    <w:multiLevelType w:val="hybridMultilevel"/>
    <w:tmpl w:val="BAF25AC2"/>
    <w:lvl w:ilvl="0" w:tplc="FFFFFFFF">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F36663"/>
    <w:multiLevelType w:val="hybridMultilevel"/>
    <w:tmpl w:val="58507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4FE39CB"/>
    <w:multiLevelType w:val="hybridMultilevel"/>
    <w:tmpl w:val="AC70F5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AF0551D"/>
    <w:multiLevelType w:val="multilevel"/>
    <w:tmpl w:val="F294A9D0"/>
    <w:lvl w:ilvl="0">
      <w:numFmt w:val="bullet"/>
      <w:lvlText w:val="●"/>
      <w:lvlJc w:val="left"/>
      <w:pPr>
        <w:tabs>
          <w:tab w:val="num" w:pos="0"/>
        </w:tabs>
        <w:ind w:left="357" w:hanging="357"/>
      </w:pPr>
      <w:rPr>
        <w:rFonts w:ascii="Calibri" w:hAnsi="Calibri" w:hint="default"/>
        <w:b/>
        <w:color w:val="62B452"/>
      </w:rPr>
    </w:lvl>
    <w:lvl w:ilvl="1">
      <w:start w:val="1"/>
      <w:numFmt w:val="bullet"/>
      <w:lvlText w:val="-"/>
      <w:lvlJc w:val="left"/>
      <w:pPr>
        <w:ind w:left="720" w:hanging="363"/>
      </w:pPr>
      <w:rPr>
        <w:rFonts w:ascii="Courier New" w:hAnsi="Courier New" w:hint="default"/>
      </w:rPr>
    </w:lvl>
    <w:lvl w:ilvl="2">
      <w:start w:val="1"/>
      <w:numFmt w:val="bullet"/>
      <w:lvlText w:val="■"/>
      <w:lvlJc w:val="left"/>
      <w:pPr>
        <w:ind w:left="1080" w:hanging="360"/>
      </w:pPr>
      <w:rPr>
        <w:rFonts w:ascii="Noto Sans Symbols" w:hAnsi="Noto Sans Symbols" w:hint="default"/>
      </w:rPr>
    </w:lvl>
    <w:lvl w:ilvl="3">
      <w:start w:val="1"/>
      <w:numFmt w:val="bullet"/>
      <w:lvlText w:val="●"/>
      <w:lvlJc w:val="left"/>
      <w:pPr>
        <w:ind w:left="1800" w:hanging="360"/>
      </w:pPr>
      <w:rPr>
        <w:rFonts w:ascii="Noto Sans Symbols" w:eastAsia="Noto Sans Symbols" w:hAnsi="Noto Sans Symbols" w:cs="Noto Sans Symbols" w:hint="default"/>
      </w:rPr>
    </w:lvl>
    <w:lvl w:ilvl="4">
      <w:start w:val="1"/>
      <w:numFmt w:val="bullet"/>
      <w:lvlText w:val="○"/>
      <w:lvlJc w:val="left"/>
      <w:pPr>
        <w:ind w:left="2520" w:hanging="360"/>
      </w:pPr>
      <w:rPr>
        <w:rFonts w:ascii="Courier New" w:eastAsia="Courier New" w:hAnsi="Courier New" w:cs="Courier New" w:hint="default"/>
      </w:rPr>
    </w:lvl>
    <w:lvl w:ilvl="5">
      <w:start w:val="1"/>
      <w:numFmt w:val="bullet"/>
      <w:lvlText w:val="■"/>
      <w:lvlJc w:val="left"/>
      <w:pPr>
        <w:ind w:left="3240" w:hanging="360"/>
      </w:pPr>
      <w:rPr>
        <w:rFonts w:ascii="Noto Sans Symbols" w:eastAsia="Noto Sans Symbols" w:hAnsi="Noto Sans Symbols" w:cs="Noto Sans Symbols" w:hint="default"/>
      </w:rPr>
    </w:lvl>
    <w:lvl w:ilvl="6">
      <w:start w:val="1"/>
      <w:numFmt w:val="bullet"/>
      <w:lvlText w:val="●"/>
      <w:lvlJc w:val="left"/>
      <w:pPr>
        <w:ind w:left="3960" w:hanging="360"/>
      </w:pPr>
      <w:rPr>
        <w:rFonts w:ascii="Noto Sans Symbols" w:eastAsia="Noto Sans Symbols" w:hAnsi="Noto Sans Symbols" w:cs="Noto Sans Symbols" w:hint="default"/>
      </w:rPr>
    </w:lvl>
    <w:lvl w:ilvl="7">
      <w:start w:val="1"/>
      <w:numFmt w:val="bullet"/>
      <w:lvlText w:val="○"/>
      <w:lvlJc w:val="left"/>
      <w:pPr>
        <w:ind w:left="4680" w:hanging="360"/>
      </w:pPr>
      <w:rPr>
        <w:rFonts w:ascii="Courier New" w:eastAsia="Courier New" w:hAnsi="Courier New" w:cs="Courier New" w:hint="default"/>
      </w:rPr>
    </w:lvl>
    <w:lvl w:ilvl="8">
      <w:start w:val="1"/>
      <w:numFmt w:val="bullet"/>
      <w:lvlText w:val="■"/>
      <w:lvlJc w:val="left"/>
      <w:pPr>
        <w:ind w:left="5400" w:hanging="360"/>
      </w:pPr>
      <w:rPr>
        <w:rFonts w:ascii="Noto Sans Symbols" w:eastAsia="Noto Sans Symbols" w:hAnsi="Noto Sans Symbols" w:cs="Noto Sans Symbols" w:hint="default"/>
      </w:rPr>
    </w:lvl>
  </w:abstractNum>
  <w:num w:numId="1" w16cid:durableId="696547545">
    <w:abstractNumId w:val="1"/>
  </w:num>
  <w:num w:numId="2" w16cid:durableId="1555962939">
    <w:abstractNumId w:val="18"/>
  </w:num>
  <w:num w:numId="3" w16cid:durableId="900481781">
    <w:abstractNumId w:val="3"/>
  </w:num>
  <w:num w:numId="4" w16cid:durableId="44448355">
    <w:abstractNumId w:val="10"/>
  </w:num>
  <w:num w:numId="5" w16cid:durableId="179898672">
    <w:abstractNumId w:val="16"/>
  </w:num>
  <w:num w:numId="6" w16cid:durableId="1534145882">
    <w:abstractNumId w:val="18"/>
    <w:lvlOverride w:ilvl="0">
      <w:lvl w:ilvl="0">
        <w:numFmt w:val="bullet"/>
        <w:lvlText w:val="●"/>
        <w:lvlJc w:val="left"/>
        <w:pPr>
          <w:tabs>
            <w:tab w:val="num" w:pos="0"/>
          </w:tabs>
          <w:ind w:left="357" w:hanging="357"/>
        </w:pPr>
        <w:rPr>
          <w:rFonts w:ascii="Calibri" w:hAnsi="Calibri" w:hint="default"/>
          <w:b/>
          <w:color w:val="62B452"/>
        </w:rPr>
      </w:lvl>
    </w:lvlOverride>
    <w:lvlOverride w:ilvl="1">
      <w:lvl w:ilvl="1">
        <w:start w:val="1"/>
        <w:numFmt w:val="bullet"/>
        <w:lvlText w:val="-"/>
        <w:lvlJc w:val="left"/>
        <w:pPr>
          <w:ind w:left="720" w:hanging="363"/>
        </w:pPr>
        <w:rPr>
          <w:rFonts w:ascii="Courier New" w:hAnsi="Courier New" w:hint="default"/>
          <w:color w:val="51C651"/>
        </w:rPr>
      </w:lvl>
    </w:lvlOverride>
    <w:lvlOverride w:ilvl="2">
      <w:lvl w:ilvl="2">
        <w:start w:val="1"/>
        <w:numFmt w:val="bullet"/>
        <w:lvlText w:val="■"/>
        <w:lvlJc w:val="left"/>
        <w:pPr>
          <w:ind w:left="1080" w:hanging="360"/>
        </w:pPr>
        <w:rPr>
          <w:rFonts w:ascii="Noto Sans Symbols" w:hAnsi="Noto Sans Symbols" w:hint="default"/>
        </w:rPr>
      </w:lvl>
    </w:lvlOverride>
    <w:lvlOverride w:ilvl="3">
      <w:lvl w:ilvl="3">
        <w:start w:val="1"/>
        <w:numFmt w:val="bullet"/>
        <w:lvlText w:val="●"/>
        <w:lvlJc w:val="left"/>
        <w:pPr>
          <w:ind w:left="1800" w:hanging="360"/>
        </w:pPr>
        <w:rPr>
          <w:rFonts w:ascii="Noto Sans Symbols" w:eastAsia="Noto Sans Symbols" w:hAnsi="Noto Sans Symbols" w:cs="Noto Sans Symbols" w:hint="default"/>
        </w:rPr>
      </w:lvl>
    </w:lvlOverride>
    <w:lvlOverride w:ilvl="4">
      <w:lvl w:ilvl="4">
        <w:start w:val="1"/>
        <w:numFmt w:val="bullet"/>
        <w:lvlText w:val="○"/>
        <w:lvlJc w:val="left"/>
        <w:pPr>
          <w:ind w:left="2520" w:hanging="360"/>
        </w:pPr>
        <w:rPr>
          <w:rFonts w:ascii="Courier New" w:eastAsia="Courier New" w:hAnsi="Courier New" w:cs="Courier New" w:hint="default"/>
        </w:rPr>
      </w:lvl>
    </w:lvlOverride>
    <w:lvlOverride w:ilvl="5">
      <w:lvl w:ilvl="5">
        <w:start w:val="1"/>
        <w:numFmt w:val="bullet"/>
        <w:lvlText w:val="■"/>
        <w:lvlJc w:val="left"/>
        <w:pPr>
          <w:ind w:left="3240" w:hanging="360"/>
        </w:pPr>
        <w:rPr>
          <w:rFonts w:ascii="Noto Sans Symbols" w:eastAsia="Noto Sans Symbols" w:hAnsi="Noto Sans Symbols" w:cs="Noto Sans Symbols" w:hint="default"/>
        </w:rPr>
      </w:lvl>
    </w:lvlOverride>
    <w:lvlOverride w:ilvl="6">
      <w:lvl w:ilvl="6">
        <w:start w:val="1"/>
        <w:numFmt w:val="bullet"/>
        <w:lvlText w:val="●"/>
        <w:lvlJc w:val="left"/>
        <w:pPr>
          <w:ind w:left="3960" w:hanging="360"/>
        </w:pPr>
        <w:rPr>
          <w:rFonts w:ascii="Noto Sans Symbols" w:eastAsia="Noto Sans Symbols" w:hAnsi="Noto Sans Symbols" w:cs="Noto Sans Symbols" w:hint="default"/>
        </w:rPr>
      </w:lvl>
    </w:lvlOverride>
    <w:lvlOverride w:ilvl="7">
      <w:lvl w:ilvl="7">
        <w:start w:val="1"/>
        <w:numFmt w:val="bullet"/>
        <w:lvlText w:val="○"/>
        <w:lvlJc w:val="left"/>
        <w:pPr>
          <w:ind w:left="4680" w:hanging="360"/>
        </w:pPr>
        <w:rPr>
          <w:rFonts w:ascii="Courier New" w:eastAsia="Courier New" w:hAnsi="Courier New" w:cs="Courier New" w:hint="default"/>
        </w:rPr>
      </w:lvl>
    </w:lvlOverride>
    <w:lvlOverride w:ilvl="8">
      <w:lvl w:ilvl="8">
        <w:start w:val="1"/>
        <w:numFmt w:val="bullet"/>
        <w:lvlText w:val="■"/>
        <w:lvlJc w:val="left"/>
        <w:pPr>
          <w:ind w:left="5400" w:hanging="360"/>
        </w:pPr>
        <w:rPr>
          <w:rFonts w:ascii="Noto Sans Symbols" w:eastAsia="Noto Sans Symbols" w:hAnsi="Noto Sans Symbols" w:cs="Noto Sans Symbols" w:hint="default"/>
        </w:rPr>
      </w:lvl>
    </w:lvlOverride>
  </w:num>
  <w:num w:numId="7" w16cid:durableId="360210218">
    <w:abstractNumId w:val="5"/>
  </w:num>
  <w:num w:numId="8" w16cid:durableId="2144224275">
    <w:abstractNumId w:val="2"/>
  </w:num>
  <w:num w:numId="9" w16cid:durableId="960766251">
    <w:abstractNumId w:val="0"/>
  </w:num>
  <w:num w:numId="10" w16cid:durableId="1218323789">
    <w:abstractNumId w:val="11"/>
  </w:num>
  <w:num w:numId="11" w16cid:durableId="191722982">
    <w:abstractNumId w:val="15"/>
  </w:num>
  <w:num w:numId="12" w16cid:durableId="1118915744">
    <w:abstractNumId w:val="13"/>
  </w:num>
  <w:num w:numId="13" w16cid:durableId="150872871">
    <w:abstractNumId w:val="9"/>
  </w:num>
  <w:num w:numId="14" w16cid:durableId="1077628551">
    <w:abstractNumId w:val="8"/>
  </w:num>
  <w:num w:numId="15" w16cid:durableId="960838044">
    <w:abstractNumId w:val="17"/>
  </w:num>
  <w:num w:numId="16" w16cid:durableId="148252312">
    <w:abstractNumId w:val="12"/>
  </w:num>
  <w:num w:numId="17" w16cid:durableId="2070758966">
    <w:abstractNumId w:val="14"/>
  </w:num>
  <w:num w:numId="18" w16cid:durableId="1260721663">
    <w:abstractNumId w:val="6"/>
  </w:num>
  <w:num w:numId="19" w16cid:durableId="665862307">
    <w:abstractNumId w:val="4"/>
  </w:num>
  <w:num w:numId="20" w16cid:durableId="3250126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9D"/>
    <w:rsid w:val="00005769"/>
    <w:rsid w:val="0000796B"/>
    <w:rsid w:val="0001084D"/>
    <w:rsid w:val="0002281A"/>
    <w:rsid w:val="00023F91"/>
    <w:rsid w:val="00025B0C"/>
    <w:rsid w:val="00025E33"/>
    <w:rsid w:val="000326E6"/>
    <w:rsid w:val="000453D9"/>
    <w:rsid w:val="000460CD"/>
    <w:rsid w:val="000508BC"/>
    <w:rsid w:val="00052423"/>
    <w:rsid w:val="00052A30"/>
    <w:rsid w:val="00056F17"/>
    <w:rsid w:val="000656DB"/>
    <w:rsid w:val="00067470"/>
    <w:rsid w:val="00071D8F"/>
    <w:rsid w:val="00074E1A"/>
    <w:rsid w:val="000833CF"/>
    <w:rsid w:val="00085723"/>
    <w:rsid w:val="00092949"/>
    <w:rsid w:val="000A30B8"/>
    <w:rsid w:val="000A567C"/>
    <w:rsid w:val="000A689F"/>
    <w:rsid w:val="000A76B1"/>
    <w:rsid w:val="000B68C7"/>
    <w:rsid w:val="000C0814"/>
    <w:rsid w:val="000C2E03"/>
    <w:rsid w:val="000C3A66"/>
    <w:rsid w:val="000C6946"/>
    <w:rsid w:val="000F3176"/>
    <w:rsid w:val="00115301"/>
    <w:rsid w:val="00133481"/>
    <w:rsid w:val="00134924"/>
    <w:rsid w:val="00143924"/>
    <w:rsid w:val="00146F7E"/>
    <w:rsid w:val="0015694B"/>
    <w:rsid w:val="001713B7"/>
    <w:rsid w:val="00181CD0"/>
    <w:rsid w:val="00183504"/>
    <w:rsid w:val="0018495D"/>
    <w:rsid w:val="00185C8B"/>
    <w:rsid w:val="00186DA6"/>
    <w:rsid w:val="00193CCB"/>
    <w:rsid w:val="001A54DE"/>
    <w:rsid w:val="001B03CD"/>
    <w:rsid w:val="001B2CE2"/>
    <w:rsid w:val="001B3446"/>
    <w:rsid w:val="001B36F7"/>
    <w:rsid w:val="001B4D26"/>
    <w:rsid w:val="001B6685"/>
    <w:rsid w:val="001C5084"/>
    <w:rsid w:val="001E5243"/>
    <w:rsid w:val="001F1A32"/>
    <w:rsid w:val="00200940"/>
    <w:rsid w:val="00201582"/>
    <w:rsid w:val="002104AD"/>
    <w:rsid w:val="00214DA0"/>
    <w:rsid w:val="00214FC0"/>
    <w:rsid w:val="00234FB6"/>
    <w:rsid w:val="0023742A"/>
    <w:rsid w:val="00237972"/>
    <w:rsid w:val="00241DC7"/>
    <w:rsid w:val="00245F15"/>
    <w:rsid w:val="00245FF8"/>
    <w:rsid w:val="002564E2"/>
    <w:rsid w:val="00256ABB"/>
    <w:rsid w:val="002610CD"/>
    <w:rsid w:val="002636A4"/>
    <w:rsid w:val="00273812"/>
    <w:rsid w:val="0028073D"/>
    <w:rsid w:val="00285356"/>
    <w:rsid w:val="00286563"/>
    <w:rsid w:val="00290686"/>
    <w:rsid w:val="00293C89"/>
    <w:rsid w:val="00295D50"/>
    <w:rsid w:val="002A1323"/>
    <w:rsid w:val="002A37F1"/>
    <w:rsid w:val="002A6021"/>
    <w:rsid w:val="002B4375"/>
    <w:rsid w:val="002C12F2"/>
    <w:rsid w:val="002D50DB"/>
    <w:rsid w:val="002D73BD"/>
    <w:rsid w:val="002D7FCE"/>
    <w:rsid w:val="002E40D7"/>
    <w:rsid w:val="002F11CA"/>
    <w:rsid w:val="00300D00"/>
    <w:rsid w:val="003121CA"/>
    <w:rsid w:val="003136DC"/>
    <w:rsid w:val="0031547B"/>
    <w:rsid w:val="00315EB0"/>
    <w:rsid w:val="00323DA8"/>
    <w:rsid w:val="0034138E"/>
    <w:rsid w:val="0034297C"/>
    <w:rsid w:val="003438E7"/>
    <w:rsid w:val="00346DB8"/>
    <w:rsid w:val="00347924"/>
    <w:rsid w:val="0035064E"/>
    <w:rsid w:val="00352482"/>
    <w:rsid w:val="00365F92"/>
    <w:rsid w:val="0037098E"/>
    <w:rsid w:val="00371FA4"/>
    <w:rsid w:val="00383903"/>
    <w:rsid w:val="00383A0F"/>
    <w:rsid w:val="00383AC3"/>
    <w:rsid w:val="00384E28"/>
    <w:rsid w:val="00386C50"/>
    <w:rsid w:val="00395012"/>
    <w:rsid w:val="003A75A1"/>
    <w:rsid w:val="003B1FF3"/>
    <w:rsid w:val="003B48E5"/>
    <w:rsid w:val="003C14B3"/>
    <w:rsid w:val="003D3A5C"/>
    <w:rsid w:val="003D4193"/>
    <w:rsid w:val="003E225A"/>
    <w:rsid w:val="003E38AB"/>
    <w:rsid w:val="003E7BD4"/>
    <w:rsid w:val="003F0E23"/>
    <w:rsid w:val="004064A5"/>
    <w:rsid w:val="00410269"/>
    <w:rsid w:val="004137A7"/>
    <w:rsid w:val="00413BC6"/>
    <w:rsid w:val="004175A9"/>
    <w:rsid w:val="00421CA7"/>
    <w:rsid w:val="0043042B"/>
    <w:rsid w:val="00430F8F"/>
    <w:rsid w:val="00437C30"/>
    <w:rsid w:val="004448CA"/>
    <w:rsid w:val="00453698"/>
    <w:rsid w:val="00455C0A"/>
    <w:rsid w:val="00456C95"/>
    <w:rsid w:val="004649FC"/>
    <w:rsid w:val="00470F2D"/>
    <w:rsid w:val="00473C32"/>
    <w:rsid w:val="00482566"/>
    <w:rsid w:val="00482F3C"/>
    <w:rsid w:val="004858FC"/>
    <w:rsid w:val="004946E8"/>
    <w:rsid w:val="00495A1A"/>
    <w:rsid w:val="00496783"/>
    <w:rsid w:val="00496CD8"/>
    <w:rsid w:val="004A1B9C"/>
    <w:rsid w:val="004C48EF"/>
    <w:rsid w:val="004C5B0C"/>
    <w:rsid w:val="004D368F"/>
    <w:rsid w:val="004D3AF7"/>
    <w:rsid w:val="004D5316"/>
    <w:rsid w:val="004E2F8D"/>
    <w:rsid w:val="004E6CFE"/>
    <w:rsid w:val="004F4674"/>
    <w:rsid w:val="00501339"/>
    <w:rsid w:val="00503FE0"/>
    <w:rsid w:val="0050784C"/>
    <w:rsid w:val="00515CE6"/>
    <w:rsid w:val="00525E94"/>
    <w:rsid w:val="00536939"/>
    <w:rsid w:val="005372F2"/>
    <w:rsid w:val="0054779A"/>
    <w:rsid w:val="0055099F"/>
    <w:rsid w:val="00551D31"/>
    <w:rsid w:val="005547A9"/>
    <w:rsid w:val="00556800"/>
    <w:rsid w:val="00557018"/>
    <w:rsid w:val="0056351F"/>
    <w:rsid w:val="00564E9D"/>
    <w:rsid w:val="0056693A"/>
    <w:rsid w:val="005779EE"/>
    <w:rsid w:val="00585592"/>
    <w:rsid w:val="00586DCF"/>
    <w:rsid w:val="005925CB"/>
    <w:rsid w:val="00592D01"/>
    <w:rsid w:val="00593CA2"/>
    <w:rsid w:val="005A6D32"/>
    <w:rsid w:val="005B2A09"/>
    <w:rsid w:val="005C3D1B"/>
    <w:rsid w:val="005C626D"/>
    <w:rsid w:val="005C7944"/>
    <w:rsid w:val="005D3FC5"/>
    <w:rsid w:val="005D68E2"/>
    <w:rsid w:val="005E08F6"/>
    <w:rsid w:val="005E2188"/>
    <w:rsid w:val="005E53A0"/>
    <w:rsid w:val="005F0FAB"/>
    <w:rsid w:val="005F1AA7"/>
    <w:rsid w:val="006015EF"/>
    <w:rsid w:val="00610133"/>
    <w:rsid w:val="00617D21"/>
    <w:rsid w:val="00622B4F"/>
    <w:rsid w:val="00626696"/>
    <w:rsid w:val="0063017C"/>
    <w:rsid w:val="006348F2"/>
    <w:rsid w:val="006413B5"/>
    <w:rsid w:val="00641B73"/>
    <w:rsid w:val="006424D0"/>
    <w:rsid w:val="00646027"/>
    <w:rsid w:val="00655BE6"/>
    <w:rsid w:val="00656534"/>
    <w:rsid w:val="006705DA"/>
    <w:rsid w:val="00676B18"/>
    <w:rsid w:val="00677ABA"/>
    <w:rsid w:val="006870E1"/>
    <w:rsid w:val="006A7026"/>
    <w:rsid w:val="006B424D"/>
    <w:rsid w:val="006C2ED3"/>
    <w:rsid w:val="006C4831"/>
    <w:rsid w:val="006C7D2A"/>
    <w:rsid w:val="006D3BCA"/>
    <w:rsid w:val="006E2199"/>
    <w:rsid w:val="006E538B"/>
    <w:rsid w:val="007034E4"/>
    <w:rsid w:val="00703E92"/>
    <w:rsid w:val="00710421"/>
    <w:rsid w:val="00715FF3"/>
    <w:rsid w:val="00723307"/>
    <w:rsid w:val="0072516B"/>
    <w:rsid w:val="0072537D"/>
    <w:rsid w:val="007332CC"/>
    <w:rsid w:val="00734EEF"/>
    <w:rsid w:val="0073576B"/>
    <w:rsid w:val="007406BD"/>
    <w:rsid w:val="00746B4E"/>
    <w:rsid w:val="00751488"/>
    <w:rsid w:val="00752C53"/>
    <w:rsid w:val="00753E38"/>
    <w:rsid w:val="00757171"/>
    <w:rsid w:val="007706A9"/>
    <w:rsid w:val="00773F02"/>
    <w:rsid w:val="00774608"/>
    <w:rsid w:val="00785748"/>
    <w:rsid w:val="007868FF"/>
    <w:rsid w:val="00793B02"/>
    <w:rsid w:val="00795809"/>
    <w:rsid w:val="00796E9F"/>
    <w:rsid w:val="007A182B"/>
    <w:rsid w:val="007A5A4D"/>
    <w:rsid w:val="007B2545"/>
    <w:rsid w:val="007C1494"/>
    <w:rsid w:val="007C1748"/>
    <w:rsid w:val="007D2FFA"/>
    <w:rsid w:val="007E1D07"/>
    <w:rsid w:val="007F1B8B"/>
    <w:rsid w:val="007F2533"/>
    <w:rsid w:val="00810991"/>
    <w:rsid w:val="00817865"/>
    <w:rsid w:val="008202F6"/>
    <w:rsid w:val="0084103B"/>
    <w:rsid w:val="00843447"/>
    <w:rsid w:val="00863BEF"/>
    <w:rsid w:val="00871D07"/>
    <w:rsid w:val="00871D62"/>
    <w:rsid w:val="00880544"/>
    <w:rsid w:val="00883D5E"/>
    <w:rsid w:val="008841AC"/>
    <w:rsid w:val="008849D6"/>
    <w:rsid w:val="00885111"/>
    <w:rsid w:val="0088688F"/>
    <w:rsid w:val="00887896"/>
    <w:rsid w:val="008A489C"/>
    <w:rsid w:val="008A6182"/>
    <w:rsid w:val="008A7085"/>
    <w:rsid w:val="008B0EAE"/>
    <w:rsid w:val="008B4E15"/>
    <w:rsid w:val="008B7E9A"/>
    <w:rsid w:val="008C5B06"/>
    <w:rsid w:val="008D31D0"/>
    <w:rsid w:val="008E11A8"/>
    <w:rsid w:val="008E3005"/>
    <w:rsid w:val="008F08EB"/>
    <w:rsid w:val="00901AA7"/>
    <w:rsid w:val="0090238A"/>
    <w:rsid w:val="0090492F"/>
    <w:rsid w:val="00906397"/>
    <w:rsid w:val="0090744F"/>
    <w:rsid w:val="009141EC"/>
    <w:rsid w:val="00916293"/>
    <w:rsid w:val="00921502"/>
    <w:rsid w:val="00921780"/>
    <w:rsid w:val="0093311D"/>
    <w:rsid w:val="00933825"/>
    <w:rsid w:val="00933987"/>
    <w:rsid w:val="0094129D"/>
    <w:rsid w:val="00944A62"/>
    <w:rsid w:val="00946E5B"/>
    <w:rsid w:val="009628D9"/>
    <w:rsid w:val="0097374E"/>
    <w:rsid w:val="00981975"/>
    <w:rsid w:val="00982C86"/>
    <w:rsid w:val="009857C2"/>
    <w:rsid w:val="00985839"/>
    <w:rsid w:val="0099034E"/>
    <w:rsid w:val="00990F3E"/>
    <w:rsid w:val="009925EA"/>
    <w:rsid w:val="00992843"/>
    <w:rsid w:val="0099311C"/>
    <w:rsid w:val="009A28C0"/>
    <w:rsid w:val="009A37E2"/>
    <w:rsid w:val="009B0EA1"/>
    <w:rsid w:val="009B475E"/>
    <w:rsid w:val="009B664D"/>
    <w:rsid w:val="009D2DFF"/>
    <w:rsid w:val="009E298D"/>
    <w:rsid w:val="009E4C6C"/>
    <w:rsid w:val="009E4F3D"/>
    <w:rsid w:val="009E6C4B"/>
    <w:rsid w:val="009E6E1C"/>
    <w:rsid w:val="009F0207"/>
    <w:rsid w:val="009F3BC6"/>
    <w:rsid w:val="009F53E6"/>
    <w:rsid w:val="009F762C"/>
    <w:rsid w:val="00A02D10"/>
    <w:rsid w:val="00A052BE"/>
    <w:rsid w:val="00A1025A"/>
    <w:rsid w:val="00A150A1"/>
    <w:rsid w:val="00A26866"/>
    <w:rsid w:val="00A27960"/>
    <w:rsid w:val="00A30456"/>
    <w:rsid w:val="00A37CD7"/>
    <w:rsid w:val="00A404BA"/>
    <w:rsid w:val="00A42E6B"/>
    <w:rsid w:val="00A44E8D"/>
    <w:rsid w:val="00A514B1"/>
    <w:rsid w:val="00A54083"/>
    <w:rsid w:val="00A545C7"/>
    <w:rsid w:val="00A55966"/>
    <w:rsid w:val="00A56B25"/>
    <w:rsid w:val="00A66237"/>
    <w:rsid w:val="00A77CEF"/>
    <w:rsid w:val="00A81543"/>
    <w:rsid w:val="00A83CCD"/>
    <w:rsid w:val="00A9282C"/>
    <w:rsid w:val="00A929BE"/>
    <w:rsid w:val="00A952E6"/>
    <w:rsid w:val="00A95535"/>
    <w:rsid w:val="00A962E3"/>
    <w:rsid w:val="00A96B30"/>
    <w:rsid w:val="00AA1712"/>
    <w:rsid w:val="00AA6ED9"/>
    <w:rsid w:val="00AB51E1"/>
    <w:rsid w:val="00AC2C98"/>
    <w:rsid w:val="00AC55C7"/>
    <w:rsid w:val="00AD7B58"/>
    <w:rsid w:val="00AF45BE"/>
    <w:rsid w:val="00AF4773"/>
    <w:rsid w:val="00AF6FC6"/>
    <w:rsid w:val="00B01AF9"/>
    <w:rsid w:val="00B02976"/>
    <w:rsid w:val="00B05FA0"/>
    <w:rsid w:val="00B10223"/>
    <w:rsid w:val="00B1262F"/>
    <w:rsid w:val="00B12F86"/>
    <w:rsid w:val="00B14599"/>
    <w:rsid w:val="00B150AB"/>
    <w:rsid w:val="00B17BA5"/>
    <w:rsid w:val="00B209C9"/>
    <w:rsid w:val="00B20AEF"/>
    <w:rsid w:val="00B21C6C"/>
    <w:rsid w:val="00B22B0B"/>
    <w:rsid w:val="00B261AC"/>
    <w:rsid w:val="00B36992"/>
    <w:rsid w:val="00B40246"/>
    <w:rsid w:val="00B567A9"/>
    <w:rsid w:val="00B64480"/>
    <w:rsid w:val="00B6623C"/>
    <w:rsid w:val="00B67635"/>
    <w:rsid w:val="00B754D6"/>
    <w:rsid w:val="00B75631"/>
    <w:rsid w:val="00B75D24"/>
    <w:rsid w:val="00B841E9"/>
    <w:rsid w:val="00B94DF0"/>
    <w:rsid w:val="00BA781C"/>
    <w:rsid w:val="00BB299B"/>
    <w:rsid w:val="00BB4DC2"/>
    <w:rsid w:val="00BB62FC"/>
    <w:rsid w:val="00BC1A6E"/>
    <w:rsid w:val="00BC28DE"/>
    <w:rsid w:val="00BC4BF9"/>
    <w:rsid w:val="00BD1790"/>
    <w:rsid w:val="00BD2874"/>
    <w:rsid w:val="00BD4CD5"/>
    <w:rsid w:val="00BF19C5"/>
    <w:rsid w:val="00BF5059"/>
    <w:rsid w:val="00BF5FB8"/>
    <w:rsid w:val="00BF6141"/>
    <w:rsid w:val="00C0377A"/>
    <w:rsid w:val="00C05754"/>
    <w:rsid w:val="00C1192D"/>
    <w:rsid w:val="00C12E4C"/>
    <w:rsid w:val="00C20CBD"/>
    <w:rsid w:val="00C27A15"/>
    <w:rsid w:val="00C3341F"/>
    <w:rsid w:val="00C413D4"/>
    <w:rsid w:val="00C440B6"/>
    <w:rsid w:val="00C44DCB"/>
    <w:rsid w:val="00C478E1"/>
    <w:rsid w:val="00C54A2A"/>
    <w:rsid w:val="00C572E0"/>
    <w:rsid w:val="00C6358B"/>
    <w:rsid w:val="00C64326"/>
    <w:rsid w:val="00C65CED"/>
    <w:rsid w:val="00C70015"/>
    <w:rsid w:val="00C73061"/>
    <w:rsid w:val="00C80552"/>
    <w:rsid w:val="00C81725"/>
    <w:rsid w:val="00C81A68"/>
    <w:rsid w:val="00C82DAB"/>
    <w:rsid w:val="00C90A5C"/>
    <w:rsid w:val="00CA1CBC"/>
    <w:rsid w:val="00CA3D67"/>
    <w:rsid w:val="00CA5F3D"/>
    <w:rsid w:val="00CA6F9E"/>
    <w:rsid w:val="00CB1833"/>
    <w:rsid w:val="00CB1CC9"/>
    <w:rsid w:val="00CB5F3B"/>
    <w:rsid w:val="00CB7D54"/>
    <w:rsid w:val="00CC0DAF"/>
    <w:rsid w:val="00CC2B07"/>
    <w:rsid w:val="00CC3F13"/>
    <w:rsid w:val="00CC4513"/>
    <w:rsid w:val="00CC5294"/>
    <w:rsid w:val="00CC590B"/>
    <w:rsid w:val="00CD309C"/>
    <w:rsid w:val="00CD54CC"/>
    <w:rsid w:val="00CD759C"/>
    <w:rsid w:val="00CD767F"/>
    <w:rsid w:val="00CE2916"/>
    <w:rsid w:val="00CE36CE"/>
    <w:rsid w:val="00CF28CF"/>
    <w:rsid w:val="00CF3765"/>
    <w:rsid w:val="00D01514"/>
    <w:rsid w:val="00D053F7"/>
    <w:rsid w:val="00D06BEA"/>
    <w:rsid w:val="00D10204"/>
    <w:rsid w:val="00D106A9"/>
    <w:rsid w:val="00D10B58"/>
    <w:rsid w:val="00D13417"/>
    <w:rsid w:val="00D1597B"/>
    <w:rsid w:val="00D1622F"/>
    <w:rsid w:val="00D210B2"/>
    <w:rsid w:val="00D22F2F"/>
    <w:rsid w:val="00D332E9"/>
    <w:rsid w:val="00D3392B"/>
    <w:rsid w:val="00D35F1A"/>
    <w:rsid w:val="00D36611"/>
    <w:rsid w:val="00D43CBF"/>
    <w:rsid w:val="00D469AB"/>
    <w:rsid w:val="00D55DDE"/>
    <w:rsid w:val="00D82881"/>
    <w:rsid w:val="00D8409A"/>
    <w:rsid w:val="00D846FD"/>
    <w:rsid w:val="00D90B07"/>
    <w:rsid w:val="00DA1A7A"/>
    <w:rsid w:val="00DB7755"/>
    <w:rsid w:val="00DC6AA4"/>
    <w:rsid w:val="00DD4DF6"/>
    <w:rsid w:val="00DD6EEC"/>
    <w:rsid w:val="00DE050F"/>
    <w:rsid w:val="00DE61DF"/>
    <w:rsid w:val="00DF006B"/>
    <w:rsid w:val="00E02BA5"/>
    <w:rsid w:val="00E07F7A"/>
    <w:rsid w:val="00E10990"/>
    <w:rsid w:val="00E218C1"/>
    <w:rsid w:val="00E41C55"/>
    <w:rsid w:val="00E4418E"/>
    <w:rsid w:val="00E57120"/>
    <w:rsid w:val="00E606F6"/>
    <w:rsid w:val="00E6126A"/>
    <w:rsid w:val="00E6355A"/>
    <w:rsid w:val="00E63E3E"/>
    <w:rsid w:val="00E721C6"/>
    <w:rsid w:val="00E839B9"/>
    <w:rsid w:val="00EA4708"/>
    <w:rsid w:val="00EA6104"/>
    <w:rsid w:val="00EC10CD"/>
    <w:rsid w:val="00ED3BC7"/>
    <w:rsid w:val="00EE075C"/>
    <w:rsid w:val="00EF0C04"/>
    <w:rsid w:val="00EF509F"/>
    <w:rsid w:val="00F027C2"/>
    <w:rsid w:val="00F06F15"/>
    <w:rsid w:val="00F1439F"/>
    <w:rsid w:val="00F148EC"/>
    <w:rsid w:val="00F174CE"/>
    <w:rsid w:val="00F2010C"/>
    <w:rsid w:val="00F23D77"/>
    <w:rsid w:val="00F264A8"/>
    <w:rsid w:val="00F3132E"/>
    <w:rsid w:val="00F31D71"/>
    <w:rsid w:val="00F31ED8"/>
    <w:rsid w:val="00F407EB"/>
    <w:rsid w:val="00F43E52"/>
    <w:rsid w:val="00F519FB"/>
    <w:rsid w:val="00F72400"/>
    <w:rsid w:val="00F73DFB"/>
    <w:rsid w:val="00F74BA3"/>
    <w:rsid w:val="00F759B2"/>
    <w:rsid w:val="00F87B58"/>
    <w:rsid w:val="00FA1ED9"/>
    <w:rsid w:val="00FB558F"/>
    <w:rsid w:val="00FC278E"/>
    <w:rsid w:val="00FC4683"/>
    <w:rsid w:val="00FD1721"/>
    <w:rsid w:val="00FD364A"/>
    <w:rsid w:val="00FF4B9E"/>
    <w:rsid w:val="00FF6F3C"/>
    <w:rsid w:val="03EC5138"/>
    <w:rsid w:val="0E07D689"/>
    <w:rsid w:val="1073F7CC"/>
    <w:rsid w:val="2D6E9783"/>
    <w:rsid w:val="47E21F92"/>
    <w:rsid w:val="4C27A9B9"/>
    <w:rsid w:val="6CB9D76E"/>
    <w:rsid w:val="6E323793"/>
    <w:rsid w:val="775392F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BFA2B"/>
  <w15:chartTrackingRefBased/>
  <w15:docId w15:val="{ABC62FC0-2414-4E1D-9253-DDEB12EF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3CCB"/>
    <w:pPr>
      <w:spacing w:after="0" w:line="276" w:lineRule="auto"/>
    </w:pPr>
    <w:rPr>
      <w:rFonts w:ascii="Calibri" w:eastAsia="Calibri" w:hAnsi="Calibri" w:cs="Calibri"/>
      <w:kern w:val="0"/>
      <w:sz w:val="22"/>
      <w:szCs w:val="22"/>
      <w:lang w:eastAsia="nl-NL"/>
      <w14:ligatures w14:val="none"/>
    </w:rPr>
  </w:style>
  <w:style w:type="paragraph" w:styleId="Kop1">
    <w:name w:val="heading 1"/>
    <w:basedOn w:val="Standaard"/>
    <w:next w:val="Standaard"/>
    <w:link w:val="Kop1Char"/>
    <w:uiPriority w:val="9"/>
    <w:qFormat/>
    <w:rsid w:val="000A567C"/>
    <w:pPr>
      <w:keepNext/>
      <w:keepLines/>
      <w:numPr>
        <w:numId w:val="4"/>
      </w:numPr>
      <w:spacing w:before="400" w:after="120"/>
      <w:outlineLvl w:val="0"/>
    </w:pPr>
    <w:rPr>
      <w:b/>
      <w:bCs/>
      <w:color w:val="005091"/>
      <w:sz w:val="28"/>
      <w:szCs w:val="28"/>
    </w:rPr>
  </w:style>
  <w:style w:type="paragraph" w:styleId="Kop2">
    <w:name w:val="heading 2"/>
    <w:basedOn w:val="Standaard"/>
    <w:next w:val="Standaard"/>
    <w:link w:val="Kop2Char"/>
    <w:uiPriority w:val="9"/>
    <w:semiHidden/>
    <w:unhideWhenUsed/>
    <w:rsid w:val="004448CA"/>
    <w:pPr>
      <w:keepNext/>
      <w:keepLines/>
      <w:numPr>
        <w:ilvl w:val="1"/>
        <w:numId w:val="4"/>
      </w:numPr>
      <w:spacing w:before="360" w:after="120"/>
      <w:outlineLvl w:val="1"/>
    </w:pPr>
    <w:rPr>
      <w:sz w:val="32"/>
      <w:szCs w:val="32"/>
    </w:rPr>
  </w:style>
  <w:style w:type="paragraph" w:styleId="Kop3">
    <w:name w:val="heading 3"/>
    <w:basedOn w:val="Standaard"/>
    <w:next w:val="Standaard"/>
    <w:link w:val="Kop3Char"/>
    <w:uiPriority w:val="9"/>
    <w:semiHidden/>
    <w:unhideWhenUsed/>
    <w:qFormat/>
    <w:rsid w:val="004448CA"/>
    <w:pPr>
      <w:keepNext/>
      <w:keepLines/>
      <w:numPr>
        <w:ilvl w:val="2"/>
        <w:numId w:val="4"/>
      </w:numPr>
      <w:spacing w:before="320" w:after="80"/>
      <w:outlineLvl w:val="2"/>
    </w:pPr>
    <w:rPr>
      <w:color w:val="434343"/>
      <w:sz w:val="28"/>
      <w:szCs w:val="28"/>
    </w:rPr>
  </w:style>
  <w:style w:type="paragraph" w:styleId="Kop4">
    <w:name w:val="heading 4"/>
    <w:basedOn w:val="Standaard"/>
    <w:next w:val="Standaard"/>
    <w:link w:val="Kop4Char"/>
    <w:uiPriority w:val="9"/>
    <w:semiHidden/>
    <w:unhideWhenUsed/>
    <w:qFormat/>
    <w:rsid w:val="004448CA"/>
    <w:pPr>
      <w:keepNext/>
      <w:keepLines/>
      <w:numPr>
        <w:ilvl w:val="3"/>
        <w:numId w:val="4"/>
      </w:numPr>
      <w:spacing w:before="280" w:after="80"/>
      <w:outlineLvl w:val="3"/>
    </w:pPr>
    <w:rPr>
      <w:color w:val="666666"/>
      <w:sz w:val="24"/>
      <w:szCs w:val="24"/>
    </w:rPr>
  </w:style>
  <w:style w:type="paragraph" w:styleId="Kop5">
    <w:name w:val="heading 5"/>
    <w:basedOn w:val="Standaard"/>
    <w:next w:val="Standaard"/>
    <w:link w:val="Kop5Char"/>
    <w:uiPriority w:val="9"/>
    <w:semiHidden/>
    <w:unhideWhenUsed/>
    <w:qFormat/>
    <w:rsid w:val="004448CA"/>
    <w:pPr>
      <w:keepNext/>
      <w:keepLines/>
      <w:numPr>
        <w:ilvl w:val="4"/>
        <w:numId w:val="4"/>
      </w:numPr>
      <w:spacing w:before="240" w:after="80"/>
      <w:outlineLvl w:val="4"/>
    </w:pPr>
    <w:rPr>
      <w:color w:val="666666"/>
    </w:rPr>
  </w:style>
  <w:style w:type="paragraph" w:styleId="Kop6">
    <w:name w:val="heading 6"/>
    <w:basedOn w:val="Standaard"/>
    <w:next w:val="Standaard"/>
    <w:link w:val="Kop6Char"/>
    <w:uiPriority w:val="9"/>
    <w:semiHidden/>
    <w:unhideWhenUsed/>
    <w:qFormat/>
    <w:rsid w:val="004448CA"/>
    <w:pPr>
      <w:keepNext/>
      <w:keepLines/>
      <w:numPr>
        <w:ilvl w:val="5"/>
        <w:numId w:val="4"/>
      </w:numPr>
      <w:spacing w:before="240" w:after="80"/>
      <w:outlineLvl w:val="5"/>
    </w:pPr>
    <w:rPr>
      <w:i/>
      <w:color w:val="666666"/>
    </w:rPr>
  </w:style>
  <w:style w:type="paragraph" w:styleId="Kop7">
    <w:name w:val="heading 7"/>
    <w:basedOn w:val="Standaard"/>
    <w:next w:val="Standaard"/>
    <w:link w:val="Kop7Char"/>
    <w:uiPriority w:val="9"/>
    <w:semiHidden/>
    <w:unhideWhenUsed/>
    <w:qFormat/>
    <w:rsid w:val="00CE2916"/>
    <w:pPr>
      <w:keepNext/>
      <w:keepLines/>
      <w:numPr>
        <w:ilvl w:val="6"/>
        <w:numId w:val="4"/>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2916"/>
    <w:pPr>
      <w:keepNext/>
      <w:keepLines/>
      <w:numPr>
        <w:ilvl w:val="7"/>
        <w:numId w:val="4"/>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2916"/>
    <w:pPr>
      <w:keepNext/>
      <w:keepLines/>
      <w:numPr>
        <w:ilvl w:val="8"/>
        <w:numId w:val="4"/>
      </w:numPr>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567C"/>
    <w:rPr>
      <w:rFonts w:ascii="Calibri" w:eastAsia="Calibri" w:hAnsi="Calibri" w:cs="Calibri"/>
      <w:b/>
      <w:bCs/>
      <w:color w:val="005091"/>
      <w:kern w:val="0"/>
      <w:sz w:val="28"/>
      <w:szCs w:val="28"/>
      <w:lang w:eastAsia="nl-NL"/>
      <w14:ligatures w14:val="none"/>
    </w:rPr>
  </w:style>
  <w:style w:type="character" w:customStyle="1" w:styleId="Kop2Char">
    <w:name w:val="Kop 2 Char"/>
    <w:basedOn w:val="Standaardalinea-lettertype"/>
    <w:link w:val="Kop2"/>
    <w:uiPriority w:val="9"/>
    <w:semiHidden/>
    <w:rsid w:val="00CE2916"/>
    <w:rPr>
      <w:rFonts w:ascii="Arial" w:eastAsia="Arial" w:hAnsi="Arial" w:cs="Arial"/>
      <w:kern w:val="0"/>
      <w:sz w:val="32"/>
      <w:szCs w:val="32"/>
      <w:lang w:val="en" w:eastAsia="nl-NL"/>
      <w14:ligatures w14:val="none"/>
    </w:rPr>
  </w:style>
  <w:style w:type="character" w:customStyle="1" w:styleId="Kop3Char">
    <w:name w:val="Kop 3 Char"/>
    <w:basedOn w:val="Standaardalinea-lettertype"/>
    <w:link w:val="Kop3"/>
    <w:uiPriority w:val="9"/>
    <w:semiHidden/>
    <w:rsid w:val="00CE2916"/>
    <w:rPr>
      <w:rFonts w:ascii="Arial" w:eastAsia="Arial" w:hAnsi="Arial" w:cs="Arial"/>
      <w:color w:val="434343"/>
      <w:kern w:val="0"/>
      <w:sz w:val="28"/>
      <w:szCs w:val="28"/>
      <w:lang w:val="en" w:eastAsia="nl-NL"/>
      <w14:ligatures w14:val="none"/>
    </w:rPr>
  </w:style>
  <w:style w:type="character" w:customStyle="1" w:styleId="Kop4Char">
    <w:name w:val="Kop 4 Char"/>
    <w:basedOn w:val="Standaardalinea-lettertype"/>
    <w:link w:val="Kop4"/>
    <w:uiPriority w:val="9"/>
    <w:semiHidden/>
    <w:rsid w:val="00CE2916"/>
    <w:rPr>
      <w:rFonts w:ascii="Arial" w:eastAsia="Arial" w:hAnsi="Arial" w:cs="Arial"/>
      <w:color w:val="666666"/>
      <w:kern w:val="0"/>
      <w:lang w:val="en" w:eastAsia="nl-NL"/>
      <w14:ligatures w14:val="none"/>
    </w:rPr>
  </w:style>
  <w:style w:type="character" w:customStyle="1" w:styleId="Kop5Char">
    <w:name w:val="Kop 5 Char"/>
    <w:basedOn w:val="Standaardalinea-lettertype"/>
    <w:link w:val="Kop5"/>
    <w:uiPriority w:val="9"/>
    <w:semiHidden/>
    <w:rsid w:val="00CE2916"/>
    <w:rPr>
      <w:rFonts w:ascii="Arial" w:eastAsia="Arial" w:hAnsi="Arial" w:cs="Arial"/>
      <w:color w:val="666666"/>
      <w:kern w:val="0"/>
      <w:sz w:val="22"/>
      <w:szCs w:val="22"/>
      <w:lang w:val="en" w:eastAsia="nl-NL"/>
      <w14:ligatures w14:val="none"/>
    </w:rPr>
  </w:style>
  <w:style w:type="character" w:customStyle="1" w:styleId="Kop6Char">
    <w:name w:val="Kop 6 Char"/>
    <w:basedOn w:val="Standaardalinea-lettertype"/>
    <w:link w:val="Kop6"/>
    <w:uiPriority w:val="9"/>
    <w:semiHidden/>
    <w:rsid w:val="00CE2916"/>
    <w:rPr>
      <w:rFonts w:ascii="Arial" w:eastAsia="Arial" w:hAnsi="Arial" w:cs="Arial"/>
      <w:i/>
      <w:color w:val="666666"/>
      <w:kern w:val="0"/>
      <w:sz w:val="22"/>
      <w:szCs w:val="22"/>
      <w:lang w:val="en" w:eastAsia="nl-NL"/>
      <w14:ligatures w14:val="none"/>
    </w:rPr>
  </w:style>
  <w:style w:type="character" w:customStyle="1" w:styleId="Kop7Char">
    <w:name w:val="Kop 7 Char"/>
    <w:basedOn w:val="Standaardalinea-lettertype"/>
    <w:link w:val="Kop7"/>
    <w:uiPriority w:val="9"/>
    <w:semiHidden/>
    <w:rsid w:val="00CE29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29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2916"/>
    <w:rPr>
      <w:rFonts w:eastAsiaTheme="majorEastAsia" w:cstheme="majorBidi"/>
      <w:color w:val="272727" w:themeColor="text1" w:themeTint="D8"/>
    </w:rPr>
  </w:style>
  <w:style w:type="paragraph" w:styleId="Titel">
    <w:name w:val="Title"/>
    <w:basedOn w:val="Standaard"/>
    <w:next w:val="Standaard"/>
    <w:link w:val="TitelChar"/>
    <w:uiPriority w:val="10"/>
    <w:qFormat/>
    <w:rsid w:val="000A567C"/>
    <w:pPr>
      <w:spacing w:after="480"/>
    </w:pPr>
    <w:rPr>
      <w:rFonts w:ascii="Proxima Nova Extrabold" w:eastAsia="Proxima Nova Extrabold" w:hAnsi="Proxima Nova Extrabold" w:cs="Proxima Nova Extrabold"/>
      <w:b/>
      <w:bCs/>
      <w:color w:val="74B959"/>
      <w:sz w:val="36"/>
      <w:szCs w:val="36"/>
    </w:rPr>
  </w:style>
  <w:style w:type="character" w:customStyle="1" w:styleId="TitelChar">
    <w:name w:val="Titel Char"/>
    <w:basedOn w:val="Standaardalinea-lettertype"/>
    <w:link w:val="Titel"/>
    <w:uiPriority w:val="10"/>
    <w:rsid w:val="000A567C"/>
    <w:rPr>
      <w:rFonts w:ascii="Proxima Nova Extrabold" w:eastAsia="Proxima Nova Extrabold" w:hAnsi="Proxima Nova Extrabold" w:cs="Proxima Nova Extrabold"/>
      <w:b/>
      <w:bCs/>
      <w:color w:val="74B959"/>
      <w:kern w:val="0"/>
      <w:sz w:val="36"/>
      <w:szCs w:val="36"/>
      <w:lang w:eastAsia="nl-NL"/>
      <w14:ligatures w14:val="none"/>
    </w:rPr>
  </w:style>
  <w:style w:type="paragraph" w:styleId="Ondertitel">
    <w:name w:val="Subtitle"/>
    <w:basedOn w:val="Standaard"/>
    <w:next w:val="Standaard"/>
    <w:link w:val="OndertitelChar"/>
    <w:uiPriority w:val="11"/>
    <w:rsid w:val="004448CA"/>
    <w:pPr>
      <w:keepNext/>
      <w:keepLines/>
      <w:spacing w:after="320"/>
    </w:pPr>
    <w:rPr>
      <w:color w:val="666666"/>
      <w:sz w:val="30"/>
      <w:szCs w:val="30"/>
    </w:rPr>
  </w:style>
  <w:style w:type="character" w:customStyle="1" w:styleId="OndertitelChar">
    <w:name w:val="Ondertitel Char"/>
    <w:basedOn w:val="Standaardalinea-lettertype"/>
    <w:link w:val="Ondertitel"/>
    <w:uiPriority w:val="11"/>
    <w:rsid w:val="00CE2916"/>
    <w:rPr>
      <w:rFonts w:ascii="Arial" w:eastAsia="Arial" w:hAnsi="Arial" w:cs="Arial"/>
      <w:color w:val="666666"/>
      <w:kern w:val="0"/>
      <w:sz w:val="30"/>
      <w:szCs w:val="30"/>
      <w:lang w:val="en" w:eastAsia="nl-NL"/>
      <w14:ligatures w14:val="none"/>
    </w:rPr>
  </w:style>
  <w:style w:type="paragraph" w:styleId="Citaat">
    <w:name w:val="Quote"/>
    <w:basedOn w:val="Standaard"/>
    <w:next w:val="Standaard"/>
    <w:link w:val="CitaatChar"/>
    <w:uiPriority w:val="29"/>
    <w:rsid w:val="00CE29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2916"/>
    <w:rPr>
      <w:i/>
      <w:iCs/>
      <w:color w:val="404040" w:themeColor="text1" w:themeTint="BF"/>
    </w:rPr>
  </w:style>
  <w:style w:type="paragraph" w:styleId="Lijstalinea">
    <w:name w:val="List Paragraph"/>
    <w:basedOn w:val="Standaard"/>
    <w:link w:val="LijstalineaChar"/>
    <w:uiPriority w:val="34"/>
    <w:qFormat/>
    <w:rsid w:val="00CE2916"/>
    <w:pPr>
      <w:ind w:left="720"/>
      <w:contextualSpacing/>
    </w:pPr>
  </w:style>
  <w:style w:type="character" w:styleId="Intensievebenadrukking">
    <w:name w:val="Intense Emphasis"/>
    <w:basedOn w:val="Standaardalinea-lettertype"/>
    <w:uiPriority w:val="21"/>
    <w:rsid w:val="00CE2916"/>
    <w:rPr>
      <w:i/>
      <w:iCs/>
      <w:color w:val="0F4761" w:themeColor="accent1" w:themeShade="BF"/>
    </w:rPr>
  </w:style>
  <w:style w:type="paragraph" w:styleId="Duidelijkcitaat">
    <w:name w:val="Intense Quote"/>
    <w:basedOn w:val="Standaard"/>
    <w:next w:val="Standaard"/>
    <w:link w:val="DuidelijkcitaatChar"/>
    <w:uiPriority w:val="30"/>
    <w:rsid w:val="00CE2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2916"/>
    <w:rPr>
      <w:i/>
      <w:iCs/>
      <w:color w:val="0F4761" w:themeColor="accent1" w:themeShade="BF"/>
    </w:rPr>
  </w:style>
  <w:style w:type="character" w:styleId="Intensieveverwijzing">
    <w:name w:val="Intense Reference"/>
    <w:basedOn w:val="Standaardalinea-lettertype"/>
    <w:uiPriority w:val="32"/>
    <w:rsid w:val="00CE2916"/>
    <w:rPr>
      <w:b/>
      <w:bCs/>
      <w:smallCaps/>
      <w:color w:val="0F4761" w:themeColor="accent1" w:themeShade="BF"/>
      <w:spacing w:val="5"/>
    </w:rPr>
  </w:style>
  <w:style w:type="paragraph" w:styleId="Koptekst">
    <w:name w:val="header"/>
    <w:basedOn w:val="Standaard"/>
    <w:link w:val="KoptekstChar"/>
    <w:uiPriority w:val="99"/>
    <w:unhideWhenUsed/>
    <w:rsid w:val="001C5084"/>
    <w:pPr>
      <w:ind w:right="1050"/>
      <w:jc w:val="right"/>
    </w:pPr>
    <w:rPr>
      <w:rFonts w:eastAsia="Proxima Nova Extrabold"/>
      <w:b/>
      <w:bCs/>
      <w:color w:val="005091"/>
      <w:sz w:val="60"/>
      <w:szCs w:val="60"/>
    </w:rPr>
  </w:style>
  <w:style w:type="character" w:customStyle="1" w:styleId="KoptekstChar">
    <w:name w:val="Koptekst Char"/>
    <w:basedOn w:val="Standaardalinea-lettertype"/>
    <w:link w:val="Koptekst"/>
    <w:uiPriority w:val="99"/>
    <w:rsid w:val="001C5084"/>
    <w:rPr>
      <w:rFonts w:ascii="Calibri" w:eastAsia="Proxima Nova Extrabold" w:hAnsi="Calibri" w:cs="Calibri"/>
      <w:b/>
      <w:bCs/>
      <w:color w:val="005091"/>
      <w:kern w:val="0"/>
      <w:sz w:val="60"/>
      <w:szCs w:val="60"/>
      <w:lang w:eastAsia="nl-NL"/>
      <w14:ligatures w14:val="none"/>
    </w:rPr>
  </w:style>
  <w:style w:type="paragraph" w:styleId="Voettekst">
    <w:name w:val="footer"/>
    <w:basedOn w:val="Standaard"/>
    <w:link w:val="VoettekstChar"/>
    <w:uiPriority w:val="99"/>
    <w:unhideWhenUsed/>
    <w:rsid w:val="004448CA"/>
    <w:pPr>
      <w:tabs>
        <w:tab w:val="center" w:pos="4536"/>
        <w:tab w:val="right" w:pos="9072"/>
      </w:tabs>
    </w:pPr>
  </w:style>
  <w:style w:type="character" w:customStyle="1" w:styleId="VoettekstChar">
    <w:name w:val="Voettekst Char"/>
    <w:basedOn w:val="Standaardalinea-lettertype"/>
    <w:link w:val="Voettekst"/>
    <w:uiPriority w:val="99"/>
    <w:rsid w:val="004448CA"/>
    <w:rPr>
      <w:rFonts w:ascii="Arial" w:eastAsia="Arial" w:hAnsi="Arial" w:cs="Arial"/>
      <w:kern w:val="0"/>
      <w:sz w:val="22"/>
      <w:szCs w:val="22"/>
      <w:lang w:val="en" w:eastAsia="nl-NL"/>
      <w14:ligatures w14:val="none"/>
    </w:rPr>
  </w:style>
  <w:style w:type="character" w:styleId="Hyperlink">
    <w:name w:val="Hyperlink"/>
    <w:uiPriority w:val="99"/>
    <w:unhideWhenUsed/>
    <w:rsid w:val="001C5084"/>
    <w:rPr>
      <w:color w:val="74B959"/>
      <w:u w:val="single"/>
    </w:rPr>
  </w:style>
  <w:style w:type="paragraph" w:styleId="Tekstopmerking">
    <w:name w:val="annotation text"/>
    <w:basedOn w:val="Standaard"/>
    <w:link w:val="TekstopmerkingChar"/>
    <w:uiPriority w:val="99"/>
    <w:unhideWhenUsed/>
    <w:rsid w:val="004448CA"/>
    <w:rPr>
      <w:sz w:val="20"/>
      <w:szCs w:val="20"/>
    </w:rPr>
  </w:style>
  <w:style w:type="character" w:customStyle="1" w:styleId="TekstopmerkingChar">
    <w:name w:val="Tekst opmerking Char"/>
    <w:link w:val="Tekstopmerking"/>
    <w:uiPriority w:val="99"/>
    <w:rsid w:val="004448CA"/>
    <w:rPr>
      <w:rFonts w:ascii="Arial" w:eastAsia="Arial" w:hAnsi="Arial" w:cs="Arial"/>
      <w:kern w:val="0"/>
      <w:sz w:val="20"/>
      <w:szCs w:val="20"/>
      <w:lang w:val="en"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4448CA"/>
    <w:rPr>
      <w:b/>
      <w:bCs/>
    </w:rPr>
  </w:style>
  <w:style w:type="character" w:customStyle="1" w:styleId="OnderwerpvanopmerkingChar">
    <w:name w:val="Onderwerp van opmerking Char"/>
    <w:link w:val="Onderwerpvanopmerking"/>
    <w:uiPriority w:val="99"/>
    <w:semiHidden/>
    <w:rsid w:val="004448CA"/>
    <w:rPr>
      <w:rFonts w:ascii="Arial" w:eastAsia="Arial" w:hAnsi="Arial" w:cs="Arial"/>
      <w:b/>
      <w:bCs/>
      <w:kern w:val="0"/>
      <w:sz w:val="20"/>
      <w:szCs w:val="20"/>
      <w:lang w:val="en" w:eastAsia="nl-NL"/>
      <w14:ligatures w14:val="none"/>
    </w:rPr>
  </w:style>
  <w:style w:type="character" w:styleId="Onopgelostemelding">
    <w:name w:val="Unresolved Mention"/>
    <w:uiPriority w:val="99"/>
    <w:semiHidden/>
    <w:unhideWhenUsed/>
    <w:rsid w:val="004448CA"/>
    <w:rPr>
      <w:color w:val="605E5C"/>
      <w:shd w:val="clear" w:color="auto" w:fill="E1DFDD"/>
    </w:rPr>
  </w:style>
  <w:style w:type="paragraph" w:customStyle="1" w:styleId="NVDEBullets">
    <w:name w:val="NVDE_Bullets"/>
    <w:basedOn w:val="Standaard"/>
    <w:link w:val="NVDEBulletsChar"/>
    <w:qFormat/>
    <w:rsid w:val="001C5084"/>
    <w:pPr>
      <w:numPr>
        <w:numId w:val="9"/>
      </w:numPr>
      <w:pBdr>
        <w:top w:val="nil"/>
        <w:left w:val="nil"/>
        <w:bottom w:val="nil"/>
        <w:right w:val="nil"/>
        <w:between w:val="nil"/>
      </w:pBdr>
    </w:pPr>
    <w:rPr>
      <w:color w:val="000000"/>
    </w:rPr>
  </w:style>
  <w:style w:type="character" w:customStyle="1" w:styleId="NVDEBulletsChar">
    <w:name w:val="NVDE_Bullets Char"/>
    <w:link w:val="NVDEBullets"/>
    <w:rsid w:val="001C5084"/>
    <w:rPr>
      <w:rFonts w:ascii="Calibri" w:eastAsia="Calibri" w:hAnsi="Calibri" w:cs="Calibri"/>
      <w:color w:val="000000"/>
      <w:kern w:val="0"/>
      <w:sz w:val="22"/>
      <w:szCs w:val="22"/>
      <w:lang w:eastAsia="nl-NL"/>
      <w14:ligatures w14:val="none"/>
    </w:rPr>
  </w:style>
  <w:style w:type="paragraph" w:customStyle="1" w:styleId="tussenkopje">
    <w:name w:val="tussenkopje"/>
    <w:basedOn w:val="Standaard"/>
    <w:link w:val="tussenkopjeChar"/>
    <w:qFormat/>
    <w:rsid w:val="000A567C"/>
    <w:pPr>
      <w:spacing w:before="360"/>
    </w:pPr>
    <w:rPr>
      <w:b/>
      <w:color w:val="005091"/>
    </w:rPr>
  </w:style>
  <w:style w:type="character" w:customStyle="1" w:styleId="tussenkopjeChar">
    <w:name w:val="tussenkopje Char"/>
    <w:link w:val="tussenkopje"/>
    <w:rsid w:val="000A567C"/>
    <w:rPr>
      <w:rFonts w:ascii="Calibri" w:eastAsia="Calibri" w:hAnsi="Calibri" w:cs="Calibri"/>
      <w:b/>
      <w:color w:val="005091"/>
      <w:kern w:val="0"/>
      <w:sz w:val="22"/>
      <w:szCs w:val="22"/>
      <w:lang w:eastAsia="nl-NL"/>
      <w14:ligatures w14:val="none"/>
    </w:rPr>
  </w:style>
  <w:style w:type="character" w:styleId="Verwijzingopmerking">
    <w:name w:val="annotation reference"/>
    <w:uiPriority w:val="99"/>
    <w:semiHidden/>
    <w:unhideWhenUsed/>
    <w:rsid w:val="004448CA"/>
    <w:rPr>
      <w:sz w:val="16"/>
      <w:szCs w:val="16"/>
    </w:rPr>
  </w:style>
  <w:style w:type="paragraph" w:customStyle="1" w:styleId="NVDEIntrotekst">
    <w:name w:val="NVDE_Introtekst"/>
    <w:basedOn w:val="Standaard"/>
    <w:qFormat/>
    <w:rsid w:val="00DE050F"/>
    <w:pPr>
      <w:spacing w:after="240"/>
    </w:pPr>
    <w:rPr>
      <w:b/>
      <w:bCs/>
    </w:rPr>
  </w:style>
  <w:style w:type="character" w:styleId="GevolgdeHyperlink">
    <w:name w:val="FollowedHyperlink"/>
    <w:basedOn w:val="Standaardalinea-lettertype"/>
    <w:uiPriority w:val="99"/>
    <w:semiHidden/>
    <w:unhideWhenUsed/>
    <w:rsid w:val="00323DA8"/>
    <w:rPr>
      <w:color w:val="96607D" w:themeColor="followedHyperlink"/>
      <w:u w:val="single"/>
    </w:rPr>
  </w:style>
  <w:style w:type="table" w:styleId="Tabelraster">
    <w:name w:val="Table Grid"/>
    <w:basedOn w:val="Standaardtabel"/>
    <w:uiPriority w:val="39"/>
    <w:rsid w:val="006D3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VDETabelstijl">
    <w:name w:val="NVDE_Tabelstijl"/>
    <w:basedOn w:val="Standaardtabel"/>
    <w:uiPriority w:val="99"/>
    <w:rsid w:val="002A37F1"/>
    <w:pPr>
      <w:spacing w:after="0" w:line="240" w:lineRule="auto"/>
    </w:pPr>
    <w:tblPr/>
  </w:style>
  <w:style w:type="character" w:styleId="Nadruk">
    <w:name w:val="Emphasis"/>
    <w:basedOn w:val="Standaardalinea-lettertype"/>
    <w:uiPriority w:val="20"/>
    <w:rsid w:val="00B6623C"/>
    <w:rPr>
      <w:i/>
      <w:iCs/>
    </w:rPr>
  </w:style>
  <w:style w:type="character" w:styleId="Zwaar">
    <w:name w:val="Strong"/>
    <w:basedOn w:val="Standaardalinea-lettertype"/>
    <w:uiPriority w:val="22"/>
    <w:rsid w:val="00193CCB"/>
    <w:rPr>
      <w:b/>
      <w:bCs/>
    </w:rPr>
  </w:style>
  <w:style w:type="character" w:customStyle="1" w:styleId="LijstalineaChar">
    <w:name w:val="Lijstalinea Char"/>
    <w:basedOn w:val="Standaardalinea-lettertype"/>
    <w:link w:val="Lijstalinea"/>
    <w:uiPriority w:val="34"/>
    <w:rsid w:val="004064A5"/>
    <w:rPr>
      <w:rFonts w:ascii="Calibri" w:eastAsia="Calibri" w:hAnsi="Calibri" w:cs="Calibri"/>
      <w:kern w:val="0"/>
      <w:sz w:val="22"/>
      <w:szCs w:val="22"/>
      <w:lang w:eastAsia="nl-NL"/>
      <w14:ligatures w14:val="none"/>
    </w:rPr>
  </w:style>
  <w:style w:type="paragraph" w:styleId="Voetnoottekst">
    <w:name w:val="footnote text"/>
    <w:basedOn w:val="Standaard"/>
    <w:link w:val="VoetnoottekstChar"/>
    <w:uiPriority w:val="99"/>
    <w:semiHidden/>
    <w:unhideWhenUsed/>
    <w:rsid w:val="000F31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F3176"/>
    <w:rPr>
      <w:rFonts w:ascii="Calibri" w:eastAsia="Calibri" w:hAnsi="Calibri" w:cs="Calibri"/>
      <w:kern w:val="0"/>
      <w:sz w:val="20"/>
      <w:szCs w:val="20"/>
      <w:lang w:eastAsia="nl-NL"/>
      <w14:ligatures w14:val="none"/>
    </w:rPr>
  </w:style>
  <w:style w:type="character" w:styleId="Voetnootmarkering">
    <w:name w:val="footnote reference"/>
    <w:basedOn w:val="Standaardalinea-lettertype"/>
    <w:uiPriority w:val="99"/>
    <w:semiHidden/>
    <w:unhideWhenUsed/>
    <w:rsid w:val="000F3176"/>
    <w:rPr>
      <w:vertAlign w:val="superscript"/>
    </w:rPr>
  </w:style>
  <w:style w:type="paragraph" w:customStyle="1" w:styleId="xxmsonormal">
    <w:name w:val="x_xmsonormal"/>
    <w:basedOn w:val="Standaard"/>
    <w:rsid w:val="004649FC"/>
    <w:pPr>
      <w:spacing w:before="100" w:beforeAutospacing="1" w:after="100" w:afterAutospacing="1" w:line="240" w:lineRule="auto"/>
    </w:pPr>
    <w:rPr>
      <w:rFonts w:ascii="Times New Roman" w:eastAsia="Times New Roman" w:hAnsi="Times New Roman" w:cs="Times New Roman"/>
      <w:sz w:val="24"/>
      <w:szCs w:val="24"/>
    </w:rPr>
  </w:style>
  <w:style w:type="paragraph" w:styleId="Revisie">
    <w:name w:val="Revision"/>
    <w:hidden/>
    <w:uiPriority w:val="99"/>
    <w:semiHidden/>
    <w:rsid w:val="00273812"/>
    <w:pPr>
      <w:spacing w:after="0" w:line="240" w:lineRule="auto"/>
    </w:pPr>
    <w:rPr>
      <w:rFonts w:ascii="Calibri" w:eastAsia="Calibri" w:hAnsi="Calibri" w:cs="Calibri"/>
      <w:kern w:val="0"/>
      <w:sz w:val="22"/>
      <w:szCs w:val="22"/>
      <w:lang w:eastAsia="nl-NL"/>
      <w14:ligatures w14:val="none"/>
    </w:rPr>
  </w:style>
  <w:style w:type="table" w:customStyle="1" w:styleId="TableNormal1">
    <w:name w:val="Table Normal1"/>
    <w:rsid w:val="007C1748"/>
    <w:pPr>
      <w:spacing w:after="0" w:line="276" w:lineRule="auto"/>
    </w:pPr>
    <w:rPr>
      <w:rFonts w:ascii="Arial" w:eastAsia="Arial" w:hAnsi="Arial" w:cs="Arial"/>
      <w:kern w:val="0"/>
      <w:sz w:val="22"/>
      <w:szCs w:val="22"/>
      <w:lang w:val="en" w:eastAsia="nl-NL"/>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left w:w="108" w:type="dxa"/>
        <w:bottom w:w="108" w:type="dxa"/>
        <w:right w:w="108" w:type="dxa"/>
      </w:tblCellMar>
    </w:tblPr>
    <w:tblStylePr w:type="firstRow">
      <w:rPr>
        <w:b/>
        <w:color w:val="auto"/>
      </w:rPr>
      <w:tblPr/>
      <w:tcPr>
        <w:shd w:val="clear" w:color="auto" w:fill="74B959"/>
      </w:tcPr>
    </w:tblStylePr>
  </w:style>
  <w:style w:type="paragraph" w:customStyle="1" w:styleId="xmsonormal">
    <w:name w:val="x_msonormal"/>
    <w:basedOn w:val="Standaard"/>
    <w:rsid w:val="00F74B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Standaard"/>
    <w:rsid w:val="00F74B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de.nl/wp-content/uploads/2026/01/Ecorys-Kosten-niet-behalen-2030-doelen-voor-duurzame-opwek-en-besparing.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ssahermens@nvde.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ordhollandsdagblad.nl/uitgelicht/nvde-schone-elektromotoren-besparen-evenveel-stroom-als-een-miljoen-huishoudens-gebruiken/146049310.html" TargetMode="External"/><Relationship Id="rId4" Type="http://schemas.openxmlformats.org/officeDocument/2006/relationships/settings" Target="settings.xml"/><Relationship Id="rId9" Type="http://schemas.openxmlformats.org/officeDocument/2006/relationships/hyperlink" Target="https://klimaatmonitor.databank.n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Data%20(Team%20Folder)\NVDE\NVDE%20COMMUNICATIE\HUISSTIJL%20SJABLONEN\NVDE%20position%20Paper%20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51475-AFE5-154B-8A2B-57941284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NVDE position Paper template</Template>
  <TotalTime>97</TotalTime>
  <Pages>4</Pages>
  <Words>1858</Words>
  <Characters>10220</Characters>
  <Application>Microsoft Office Word</Application>
  <DocSecurity>0</DocSecurity>
  <Lines>85</Lines>
  <Paragraphs>24</Paragraphs>
  <ScaleCrop>false</ScaleCrop>
  <Company>Word Specialist</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NVDE</dc:creator>
  <cp:keywords/>
  <dc:description/>
  <cp:lastModifiedBy>Tessa Hermens</cp:lastModifiedBy>
  <cp:revision>94</cp:revision>
  <cp:lastPrinted>2024-12-05T00:51:00Z</cp:lastPrinted>
  <dcterms:created xsi:type="dcterms:W3CDTF">2026-05-28T18:18:00Z</dcterms:created>
  <dcterms:modified xsi:type="dcterms:W3CDTF">2026-05-28T20:11:00Z</dcterms:modified>
</cp:coreProperties>
</file>